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sz w:val="26"/>
        </w:rPr>
      </w:pPr>
      <w:r>
        <w:rPr>
          <w:sz w:val="26"/>
        </w:rPr>
        <w:t xml:space="preserve">Департамент строительства, жилищно-коммунального хозяйства, энергетики и транспорта Ненецкого автономного округа </w:t>
      </w:r>
    </w:p>
    <w:p w14:paraId="02000000">
      <w:pPr>
        <w:pStyle w:val="Style_1"/>
        <w:widowControl w:val="1"/>
        <w:ind/>
        <w:jc w:val="center"/>
        <w:rPr>
          <w:sz w:val="26"/>
        </w:rPr>
      </w:pPr>
    </w:p>
    <w:p w14:paraId="03000000">
      <w:pPr>
        <w:pStyle w:val="Style_1"/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>ПРОТОКОЛ</w:t>
      </w:r>
    </w:p>
    <w:p w14:paraId="04000000">
      <w:pPr>
        <w:pStyle w:val="Style_1"/>
        <w:widowControl w:val="1"/>
        <w:ind/>
        <w:jc w:val="center"/>
        <w:rPr>
          <w:b w:val="1"/>
          <w:sz w:val="26"/>
        </w:rPr>
      </w:pPr>
    </w:p>
    <w:p w14:paraId="05000000">
      <w:pPr>
        <w:pStyle w:val="Style_1"/>
        <w:widowControl w:val="1"/>
        <w:ind/>
        <w:jc w:val="center"/>
        <w:rPr>
          <w:sz w:val="26"/>
        </w:rPr>
      </w:pPr>
      <w:r>
        <w:rPr>
          <w:sz w:val="26"/>
        </w:rPr>
        <w:t xml:space="preserve">заседания Комиссии по соблюдению требований к служебному поведению государственных гражданских служащих Ненецкого автономного округа </w:t>
      </w:r>
      <w:r>
        <w:rPr>
          <w:sz w:val="26"/>
        </w:rPr>
        <w:br/>
      </w:r>
      <w:r>
        <w:rPr>
          <w:sz w:val="26"/>
        </w:rPr>
        <w:t>и урегулированию конфликта интересов в Департаменте строительства, жилищно-коммунального хозяйства, энергетики и транспорта Ненецкого автономного округа</w:t>
      </w:r>
    </w:p>
    <w:p w14:paraId="06000000">
      <w:pPr>
        <w:pStyle w:val="Style_1"/>
        <w:widowControl w:val="1"/>
        <w:pBdr>
          <w:bottom w:color="000000" w:space="1" w:sz="4" w:val="single"/>
        </w:pBdr>
        <w:ind/>
        <w:jc w:val="center"/>
        <w:rPr>
          <w:sz w:val="26"/>
        </w:rPr>
      </w:pPr>
      <w:r>
        <w:rPr>
          <w:sz w:val="26"/>
        </w:rPr>
        <w:t>от 05 марта 2026 года № 1</w:t>
      </w:r>
    </w:p>
    <w:p w14:paraId="07000000">
      <w:pPr>
        <w:pStyle w:val="Style_1"/>
        <w:widowControl w:val="1"/>
        <w:ind/>
        <w:jc w:val="center"/>
        <w:rPr>
          <w:sz w:val="26"/>
        </w:rPr>
      </w:pPr>
      <w:r>
        <w:rPr>
          <w:sz w:val="26"/>
        </w:rPr>
        <w:t>г. Нарьян-Мар</w:t>
      </w:r>
    </w:p>
    <w:p w14:paraId="08000000">
      <w:pPr>
        <w:pStyle w:val="Style_1"/>
        <w:widowControl w:val="1"/>
        <w:ind w:firstLine="708" w:left="0" w:right="0"/>
        <w:jc w:val="both"/>
        <w:rPr>
          <w:sz w:val="26"/>
        </w:rPr>
      </w:pPr>
    </w:p>
    <w:p w14:paraId="09000000">
      <w:pPr>
        <w:pStyle w:val="Style_1"/>
        <w:widowControl w:val="1"/>
        <w:ind w:firstLine="708" w:left="0" w:right="0"/>
        <w:jc w:val="both"/>
        <w:rPr>
          <w:sz w:val="26"/>
        </w:rPr>
      </w:pPr>
      <w:r>
        <w:rPr>
          <w:sz w:val="26"/>
        </w:rPr>
        <w:t xml:space="preserve">Положение о комиссии по соблюдению требований к служебному поведению государственных гражданских служащих Ненецкого автономного округа </w:t>
      </w:r>
      <w:r>
        <w:rPr>
          <w:sz w:val="26"/>
        </w:rPr>
        <w:br/>
      </w:r>
      <w:r>
        <w:rPr>
          <w:sz w:val="26"/>
        </w:rPr>
        <w:t>и урегулированию конфликта интересов в Департаменте строительства, жилищно-коммунального хозяйства, энергетики и транспорта Ненецкого автономного округа (далее – Положение, Комиссия, Департамент соответственно) и её состав утверждены распоряжением Департамента от 22.01.2025 № 16-р (в редакции распоряжения от 05.03.2025 № 39-р).</w:t>
      </w:r>
    </w:p>
    <w:p w14:paraId="0A000000">
      <w:pPr>
        <w:pStyle w:val="Style_1"/>
        <w:widowControl w:val="1"/>
        <w:ind w:firstLine="708" w:left="0" w:right="0"/>
        <w:jc w:val="both"/>
        <w:rPr>
          <w:sz w:val="26"/>
        </w:rPr>
      </w:pPr>
    </w:p>
    <w:tbl>
      <w:tblPr>
        <w:tblStyle w:val="Style_2"/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29"/>
        <w:gridCol w:w="4494"/>
      </w:tblGrid>
      <w:tr>
        <w:trPr>
          <w:trHeight w:hRule="atLeast" w:val="356"/>
        </w:trPr>
        <w:tc>
          <w:tcPr>
            <w:tcW w:type="dxa" w:w="552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left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 xml:space="preserve">ПРЕДСЕДАТЕЛЬ КОМИССИИ – </w:t>
            </w:r>
          </w:p>
          <w:p w14:paraId="0C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left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Заместитель руководителя Департамента - начальник организационно-правового управления Департамента</w:t>
            </w:r>
          </w:p>
          <w:p w14:paraId="0D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left"/>
              <w:rPr>
                <w:sz w:val="26"/>
              </w:rPr>
            </w:pPr>
          </w:p>
          <w:p w14:paraId="0E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left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СЕКРЕТАРЬ КОМИССИИ –</w:t>
            </w:r>
          </w:p>
          <w:p w14:paraId="0F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left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 xml:space="preserve">главный консультант </w:t>
            </w:r>
            <w:r>
              <w:rPr>
                <w:color w:val="000000"/>
                <w:spacing w:val="0"/>
                <w:sz w:val="26"/>
              </w:rPr>
              <w:br/>
            </w:r>
            <w:r>
              <w:rPr>
                <w:color w:val="000000"/>
                <w:spacing w:val="0"/>
                <w:sz w:val="26"/>
              </w:rPr>
              <w:t xml:space="preserve">отдела организационного обеспечения, </w:t>
            </w:r>
            <w:r>
              <w:rPr>
                <w:color w:val="000000"/>
                <w:spacing w:val="0"/>
                <w:sz w:val="26"/>
              </w:rPr>
              <w:br/>
            </w:r>
            <w:r>
              <w:rPr>
                <w:color w:val="000000"/>
                <w:spacing w:val="0"/>
                <w:sz w:val="26"/>
              </w:rPr>
              <w:t>учета и отчетности организационно-</w:t>
            </w:r>
            <w:r>
              <w:rPr>
                <w:color w:val="000000"/>
                <w:spacing w:val="0"/>
                <w:sz w:val="26"/>
              </w:rPr>
              <w:br/>
            </w:r>
            <w:r>
              <w:rPr>
                <w:color w:val="000000"/>
                <w:spacing w:val="0"/>
                <w:sz w:val="26"/>
              </w:rPr>
              <w:t xml:space="preserve">правового управления Департамента  </w:t>
            </w:r>
          </w:p>
          <w:p w14:paraId="10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left"/>
              <w:rPr>
                <w:sz w:val="26"/>
              </w:rPr>
            </w:pPr>
          </w:p>
        </w:tc>
        <w:tc>
          <w:tcPr>
            <w:tcW w:type="dxa" w:w="44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</w:p>
          <w:p w14:paraId="12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</w:p>
          <w:p w14:paraId="13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 xml:space="preserve">Олуфёрова </w:t>
            </w:r>
          </w:p>
          <w:p w14:paraId="14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Екатерина Викторовна</w:t>
            </w:r>
          </w:p>
          <w:p w14:paraId="15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</w:p>
          <w:p w14:paraId="16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</w:p>
          <w:p w14:paraId="17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</w:p>
          <w:p w14:paraId="18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</w:p>
          <w:p w14:paraId="19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 xml:space="preserve">Семяшкин </w:t>
            </w:r>
          </w:p>
          <w:p w14:paraId="1A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Александр Андреевич</w:t>
            </w:r>
          </w:p>
        </w:tc>
      </w:tr>
      <w:tr>
        <w:trPr>
          <w:trHeight w:hRule="atLeast" w:val="441"/>
        </w:trPr>
        <w:tc>
          <w:tcPr>
            <w:tcW w:type="dxa" w:w="552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ЧЛЕНЫ КОМИССИИ:</w:t>
            </w:r>
          </w:p>
        </w:tc>
        <w:tc>
          <w:tcPr>
            <w:tcW w:type="dxa" w:w="44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</w:p>
        </w:tc>
      </w:tr>
      <w:tr>
        <w:trPr>
          <w:trHeight w:hRule="atLeast" w:val="1232"/>
        </w:trPr>
        <w:tc>
          <w:tcPr>
            <w:tcW w:type="dxa" w:w="552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left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Заместитель начальника организационно-правового управления Департамента – начальник правового сектора</w:t>
            </w:r>
          </w:p>
        </w:tc>
        <w:tc>
          <w:tcPr>
            <w:tcW w:type="dxa" w:w="44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  <w:p w14:paraId="1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 xml:space="preserve">Ударов </w:t>
            </w:r>
          </w:p>
          <w:p w14:paraId="2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Андрей Юрьевич</w:t>
            </w:r>
          </w:p>
        </w:tc>
      </w:tr>
      <w:tr>
        <w:trPr>
          <w:trHeight w:hRule="atLeast" w:val="1232"/>
        </w:trPr>
        <w:tc>
          <w:tcPr>
            <w:tcW w:type="dxa" w:w="552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left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Начальник</w:t>
            </w:r>
            <w:r>
              <w:rPr>
                <w:color w:val="000000"/>
                <w:spacing w:val="0"/>
                <w:sz w:val="26"/>
              </w:rPr>
              <w:br/>
            </w:r>
            <w:r>
              <w:rPr>
                <w:color w:val="000000"/>
                <w:spacing w:val="0"/>
                <w:sz w:val="26"/>
              </w:rPr>
              <w:t xml:space="preserve">отдела организационного обеспечения, </w:t>
            </w:r>
            <w:r>
              <w:rPr>
                <w:color w:val="000000"/>
                <w:spacing w:val="0"/>
                <w:sz w:val="26"/>
              </w:rPr>
              <w:br/>
            </w:r>
            <w:r>
              <w:rPr>
                <w:color w:val="000000"/>
                <w:spacing w:val="0"/>
                <w:sz w:val="26"/>
              </w:rPr>
              <w:t>учета и отчетности организационно-</w:t>
            </w:r>
            <w:r>
              <w:rPr>
                <w:color w:val="000000"/>
                <w:spacing w:val="0"/>
                <w:sz w:val="26"/>
              </w:rPr>
              <w:br/>
            </w:r>
            <w:r>
              <w:rPr>
                <w:color w:val="000000"/>
                <w:spacing w:val="0"/>
                <w:sz w:val="26"/>
              </w:rPr>
              <w:t xml:space="preserve">правового управления Департамента  </w:t>
            </w:r>
          </w:p>
          <w:p w14:paraId="22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left"/>
              <w:rPr>
                <w:sz w:val="26"/>
              </w:rPr>
            </w:pPr>
          </w:p>
        </w:tc>
        <w:tc>
          <w:tcPr>
            <w:tcW w:type="dxa" w:w="44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</w:p>
          <w:p w14:paraId="24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</w:p>
          <w:p w14:paraId="25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 xml:space="preserve">Чернега </w:t>
            </w:r>
          </w:p>
          <w:p w14:paraId="26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Наталья Александровна</w:t>
            </w:r>
          </w:p>
        </w:tc>
      </w:tr>
      <w:tr>
        <w:trPr>
          <w:trHeight w:hRule="atLeast" w:val="1232"/>
        </w:trPr>
        <w:tc>
          <w:tcPr>
            <w:tcW w:type="dxa" w:w="552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pStyle w:val="Style_1"/>
              <w:widowControl w:val="1"/>
              <w:tabs>
                <w:tab w:leader="none" w:pos="708" w:val="clear"/>
                <w:tab w:leader="none" w:pos="6196" w:val="left"/>
              </w:tabs>
              <w:spacing w:after="0" w:before="0" w:line="240" w:lineRule="auto"/>
              <w:ind w:firstLine="0" w:left="0" w:right="-81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 xml:space="preserve">Председатель </w:t>
            </w:r>
            <w:r>
              <w:rPr>
                <w:color w:val="000000"/>
                <w:spacing w:val="0"/>
                <w:sz w:val="26"/>
              </w:rPr>
              <w:br/>
            </w:r>
            <w:r>
              <w:rPr>
                <w:color w:val="000000"/>
                <w:spacing w:val="0"/>
                <w:sz w:val="26"/>
              </w:rPr>
              <w:t>комитета по вопросам противодействия</w:t>
            </w:r>
          </w:p>
          <w:p w14:paraId="28000000">
            <w:pPr>
              <w:pStyle w:val="Style_1"/>
              <w:widowControl w:val="1"/>
              <w:tabs>
                <w:tab w:leader="none" w:pos="708" w:val="clear"/>
                <w:tab w:leader="none" w:pos="6196" w:val="left"/>
              </w:tabs>
              <w:spacing w:after="0" w:before="0" w:line="240" w:lineRule="auto"/>
              <w:ind w:firstLine="0" w:left="0" w:right="-81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 xml:space="preserve">коррупции Аппарата Администрации </w:t>
            </w:r>
          </w:p>
          <w:p w14:paraId="29000000">
            <w:pPr>
              <w:pStyle w:val="Style_1"/>
              <w:widowControl w:val="1"/>
              <w:tabs>
                <w:tab w:leader="none" w:pos="708" w:val="clear"/>
                <w:tab w:leader="none" w:pos="6196" w:val="left"/>
              </w:tabs>
              <w:spacing w:after="0" w:before="0" w:line="240" w:lineRule="auto"/>
              <w:ind w:firstLine="0" w:left="0" w:right="-81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Ненецкого автономного округа</w:t>
            </w:r>
          </w:p>
          <w:p w14:paraId="2A000000">
            <w:pPr>
              <w:pStyle w:val="Style_1"/>
              <w:widowControl w:val="1"/>
              <w:tabs>
                <w:tab w:leader="none" w:pos="708" w:val="clear"/>
                <w:tab w:leader="none" w:pos="6196" w:val="left"/>
              </w:tabs>
              <w:spacing w:after="0" w:before="0" w:line="240" w:lineRule="auto"/>
              <w:ind w:firstLine="0" w:left="0" w:right="-810"/>
              <w:jc w:val="both"/>
              <w:rPr>
                <w:sz w:val="26"/>
              </w:rPr>
            </w:pPr>
          </w:p>
        </w:tc>
        <w:tc>
          <w:tcPr>
            <w:tcW w:type="dxa" w:w="44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</w:p>
          <w:p w14:paraId="2C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</w:p>
          <w:p w14:paraId="2D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Янзинов</w:t>
            </w:r>
          </w:p>
          <w:p w14:paraId="2E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Алексей Валерьевич</w:t>
            </w:r>
          </w:p>
        </w:tc>
      </w:tr>
      <w:tr>
        <w:trPr>
          <w:trHeight w:hRule="atLeast" w:val="1232"/>
        </w:trPr>
        <w:tc>
          <w:tcPr>
            <w:tcW w:type="dxa" w:w="552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1"/>
              <w:widowControl w:val="1"/>
              <w:tabs>
                <w:tab w:leader="none" w:pos="708" w:val="clear"/>
                <w:tab w:leader="none" w:pos="6196" w:val="left"/>
              </w:tabs>
              <w:spacing w:after="0" w:before="0" w:line="240" w:lineRule="auto"/>
              <w:ind w:firstLine="0" w:left="0" w:right="-81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 xml:space="preserve">Директор </w:t>
            </w:r>
          </w:p>
          <w:p w14:paraId="30000000">
            <w:pPr>
              <w:pStyle w:val="Style_1"/>
              <w:widowControl w:val="1"/>
              <w:tabs>
                <w:tab w:leader="none" w:pos="708" w:val="clear"/>
                <w:tab w:leader="none" w:pos="6196" w:val="left"/>
              </w:tabs>
              <w:spacing w:after="0" w:before="0" w:line="240" w:lineRule="auto"/>
              <w:ind w:firstLine="0" w:left="0" w:right="-81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 xml:space="preserve">государственного бюджетного учреждения </w:t>
            </w:r>
          </w:p>
          <w:p w14:paraId="31000000">
            <w:pPr>
              <w:pStyle w:val="Style_1"/>
              <w:widowControl w:val="1"/>
              <w:tabs>
                <w:tab w:leader="none" w:pos="708" w:val="clear"/>
                <w:tab w:leader="none" w:pos="6196" w:val="left"/>
              </w:tabs>
              <w:spacing w:after="0" w:before="0" w:line="240" w:lineRule="auto"/>
              <w:ind w:firstLine="0" w:left="0" w:right="-81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 xml:space="preserve">Ненецкого автономного округа </w:t>
            </w:r>
          </w:p>
          <w:p w14:paraId="32000000">
            <w:pPr>
              <w:pStyle w:val="Style_1"/>
              <w:widowControl w:val="1"/>
              <w:tabs>
                <w:tab w:leader="none" w:pos="708" w:val="clear"/>
                <w:tab w:leader="none" w:pos="6196" w:val="left"/>
              </w:tabs>
              <w:spacing w:after="0" w:before="0" w:line="240" w:lineRule="auto"/>
              <w:ind w:firstLine="0" w:left="0" w:right="-81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 xml:space="preserve">«Ненецкий региональный центр </w:t>
            </w:r>
          </w:p>
          <w:p w14:paraId="33000000">
            <w:pPr>
              <w:pStyle w:val="Style_1"/>
              <w:widowControl w:val="1"/>
              <w:tabs>
                <w:tab w:leader="none" w:pos="708" w:val="clear"/>
                <w:tab w:leader="none" w:pos="6196" w:val="left"/>
              </w:tabs>
              <w:spacing w:after="0" w:before="0" w:line="240" w:lineRule="auto"/>
              <w:ind w:firstLine="0" w:left="0" w:right="-81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развития образования»</w:t>
            </w:r>
          </w:p>
        </w:tc>
        <w:tc>
          <w:tcPr>
            <w:tcW w:type="dxa" w:w="44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</w:p>
          <w:p w14:paraId="35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</w:p>
          <w:p w14:paraId="36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</w:p>
          <w:p w14:paraId="37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Козицина</w:t>
            </w:r>
          </w:p>
          <w:p w14:paraId="38000000">
            <w:pPr>
              <w:pStyle w:val="Style_1"/>
              <w:widowControl w:val="1"/>
              <w:spacing w:after="0" w:before="0" w:line="240" w:lineRule="auto"/>
              <w:ind w:firstLine="0" w:left="-108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Ольга Юрьевна</w:t>
            </w:r>
          </w:p>
        </w:tc>
      </w:tr>
    </w:tbl>
    <w:p w14:paraId="39000000">
      <w:pPr>
        <w:pStyle w:val="Style_1"/>
        <w:widowControl w:val="1"/>
        <w:ind w:firstLine="708" w:left="0" w:right="0"/>
        <w:jc w:val="both"/>
        <w:rPr>
          <w:sz w:val="26"/>
        </w:rPr>
      </w:pPr>
    </w:p>
    <w:p w14:paraId="3A000000">
      <w:pPr>
        <w:pStyle w:val="Style_1"/>
        <w:widowControl w:val="1"/>
        <w:ind w:firstLine="708" w:left="0" w:right="0"/>
        <w:jc w:val="both"/>
        <w:rPr>
          <w:sz w:val="26"/>
        </w:rPr>
      </w:pPr>
    </w:p>
    <w:p w14:paraId="3B000000">
      <w:pPr>
        <w:pStyle w:val="Style_1"/>
        <w:widowControl w:val="1"/>
        <w:ind w:firstLine="708" w:left="0" w:right="0"/>
        <w:jc w:val="both"/>
        <w:rPr>
          <w:sz w:val="26"/>
        </w:rPr>
      </w:pPr>
      <w:r>
        <w:rPr>
          <w:sz w:val="26"/>
        </w:rPr>
        <w:t xml:space="preserve">Всего на заседании Комиссии присутствует 6 (шесть) человек. </w:t>
      </w:r>
    </w:p>
    <w:p w14:paraId="3C000000">
      <w:pPr>
        <w:pStyle w:val="Style_1"/>
        <w:widowControl w:val="1"/>
        <w:ind w:firstLine="708" w:left="0" w:right="0"/>
        <w:jc w:val="both"/>
        <w:rPr>
          <w:sz w:val="26"/>
        </w:rPr>
      </w:pPr>
      <w:r>
        <w:rPr>
          <w:sz w:val="26"/>
        </w:rPr>
        <w:t>В соответствии с пунктом 14 Положения о Комиссии заседание Комиссии считается правомочным.</w:t>
      </w:r>
    </w:p>
    <w:p w14:paraId="3D000000">
      <w:pPr>
        <w:pStyle w:val="Style_1"/>
        <w:widowControl w:val="1"/>
        <w:ind w:firstLine="708" w:left="0" w:right="0"/>
        <w:rPr>
          <w:sz w:val="26"/>
        </w:rPr>
      </w:pPr>
      <w:r>
        <w:rPr>
          <w:sz w:val="26"/>
        </w:rPr>
        <w:t>Начало работы Комиссии – 16 часов 00 минут.</w:t>
      </w:r>
    </w:p>
    <w:p w14:paraId="3E000000">
      <w:pPr>
        <w:pStyle w:val="Style_1"/>
        <w:rPr>
          <w:sz w:val="26"/>
        </w:rPr>
      </w:pPr>
    </w:p>
    <w:p w14:paraId="3F000000">
      <w:pPr>
        <w:pStyle w:val="Style_1"/>
        <w:rPr>
          <w:b w:val="1"/>
          <w:sz w:val="26"/>
        </w:rPr>
      </w:pPr>
    </w:p>
    <w:p w14:paraId="40000000">
      <w:pPr>
        <w:pStyle w:val="Style_1"/>
        <w:rPr>
          <w:b w:val="1"/>
          <w:sz w:val="26"/>
        </w:rPr>
      </w:pPr>
    </w:p>
    <w:p w14:paraId="41000000">
      <w:pPr>
        <w:pStyle w:val="Style_1"/>
        <w:rPr>
          <w:b w:val="1"/>
          <w:sz w:val="26"/>
        </w:rPr>
      </w:pPr>
      <w:r>
        <w:rPr>
          <w:b w:val="1"/>
          <w:sz w:val="26"/>
        </w:rPr>
        <w:t>ПОВЕСТКА ЗАСЕДАНИЯ КОМИССИИ:</w:t>
      </w:r>
    </w:p>
    <w:p w14:paraId="42000000">
      <w:pPr>
        <w:pStyle w:val="Style_1"/>
        <w:rPr>
          <w:sz w:val="26"/>
        </w:rPr>
      </w:pPr>
      <w:r>
        <w:rPr>
          <w:sz w:val="26"/>
        </w:rPr>
        <w:t>_______________________________________________________________________</w:t>
      </w:r>
    </w:p>
    <w:p w14:paraId="43000000">
      <w:pPr>
        <w:pStyle w:val="Style_3"/>
        <w:widowControl w:val="1"/>
        <w:ind/>
        <w:jc w:val="both"/>
        <w:rPr>
          <w:sz w:val="26"/>
        </w:rPr>
      </w:pPr>
      <w:r>
        <w:rPr>
          <w:sz w:val="26"/>
        </w:rPr>
        <w:t>О рассмотрении заявления заместителя начальника управления транспорта Департамента – начальника сектора транспорта (далее – государственный гражданский служащий, заявитель).</w:t>
      </w:r>
    </w:p>
    <w:p w14:paraId="44000000">
      <w:pPr>
        <w:pStyle w:val="Style_1"/>
        <w:widowControl w:val="1"/>
        <w:ind/>
        <w:jc w:val="both"/>
        <w:rPr>
          <w:sz w:val="26"/>
        </w:rPr>
      </w:pPr>
      <w:r>
        <w:rPr>
          <w:sz w:val="26"/>
        </w:rPr>
        <w:t>______________________________________________________________________</w:t>
      </w:r>
    </w:p>
    <w:p w14:paraId="45000000">
      <w:pPr>
        <w:pStyle w:val="Style_3"/>
        <w:widowControl w:val="1"/>
        <w:ind w:firstLine="709" w:left="0" w:right="0"/>
        <w:jc w:val="both"/>
        <w:rPr>
          <w:sz w:val="26"/>
        </w:rPr>
      </w:pPr>
    </w:p>
    <w:p w14:paraId="46000000">
      <w:pPr>
        <w:pStyle w:val="Style_3"/>
        <w:widowControl w:val="1"/>
        <w:ind w:firstLine="709" w:left="0" w:right="0"/>
        <w:jc w:val="both"/>
        <w:rPr>
          <w:sz w:val="26"/>
        </w:rPr>
      </w:pPr>
      <w:r>
        <w:rPr>
          <w:sz w:val="26"/>
        </w:rPr>
        <w:t xml:space="preserve">Государственный гражданский служащий обратился в Комиссию для рассмотрения вопроса о невозможности выполнения требования Федерального закона от 07.05.2013 № 79-ФЗ « О запрете отдельным категориям лиц открывать </w:t>
      </w:r>
      <w:r>
        <w:rPr>
          <w:sz w:val="26"/>
        </w:rPr>
        <w:br/>
      </w:r>
      <w:r>
        <w:rPr>
          <w:sz w:val="26"/>
        </w:rPr>
        <w:t xml:space="preserve"> иметь счета (вклады), хранить наличные денежные средства и ценности </w:t>
      </w:r>
      <w:r>
        <w:rPr>
          <w:sz w:val="26"/>
        </w:rPr>
        <w:br/>
      </w:r>
      <w:r>
        <w:rPr>
          <w:sz w:val="26"/>
        </w:rPr>
        <w:t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– Федеральный закон).</w:t>
      </w:r>
    </w:p>
    <w:p w14:paraId="47000000">
      <w:pPr>
        <w:pStyle w:val="Style_3"/>
        <w:widowControl w:val="1"/>
        <w:ind w:firstLine="709" w:left="0" w:right="0"/>
        <w:jc w:val="both"/>
        <w:rPr>
          <w:sz w:val="26"/>
        </w:rPr>
      </w:pPr>
      <w:r>
        <w:rPr>
          <w:sz w:val="26"/>
        </w:rPr>
        <w:t xml:space="preserve">Должность государственной гражданской службы Ненецкого автономного округа, замещаемая заявителем, включена в Перечень должностей государственной гражданской службы Ненецкого автономного округа,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</w:t>
      </w:r>
      <w:r>
        <w:rPr>
          <w:caps w:val="1"/>
          <w:sz w:val="26"/>
        </w:rPr>
        <w:t>ф</w:t>
      </w:r>
      <w:r>
        <w:rPr>
          <w:sz w:val="26"/>
        </w:rPr>
        <w:t xml:space="preserve">едерации, владеть и (или) пользоваться иностранными финансовыми инструментами, утвержденный постановлением губернатора Ненецкого автономного округа от 04.12.2015 № 99-пг. </w:t>
      </w:r>
    </w:p>
    <w:p w14:paraId="48000000">
      <w:pPr>
        <w:pStyle w:val="Style_3"/>
        <w:widowControl w:val="1"/>
        <w:ind w:firstLine="709" w:left="0" w:right="0"/>
        <w:jc w:val="both"/>
        <w:rPr>
          <w:sz w:val="26"/>
        </w:rPr>
      </w:pPr>
      <w:r>
        <w:rPr>
          <w:sz w:val="26"/>
        </w:rPr>
        <w:t xml:space="preserve">Между заявителем и </w:t>
      </w:r>
      <w:r>
        <w:rPr>
          <w:sz w:val="26"/>
        </w:rPr>
        <w:t>АО «АЛЬФА-БАНК» заключено Генеральное Соглашение № 4309932 от 20.03.2022, предметом которого является оказание брокерских и иных сопутствующих услуг, существенные условия которого зафиксированы в Регламенте оказания услуг на финансовых рынках АО «АЛЬФА-БАНК».</w:t>
      </w:r>
    </w:p>
    <w:p w14:paraId="49000000">
      <w:pPr>
        <w:pStyle w:val="Style_3"/>
        <w:widowControl w:val="1"/>
        <w:ind w:firstLine="709" w:left="0" w:right="0"/>
        <w:jc w:val="both"/>
        <w:rPr>
          <w:rFonts w:ascii="Times New Roman" w:hAnsi="Times New Roman"/>
          <w:sz w:val="26"/>
        </w:rPr>
      </w:pPr>
      <w:r>
        <w:rPr>
          <w:sz w:val="26"/>
        </w:rPr>
        <w:t>Государственный гражданский служащий владеет ценными бумагами BioXcel Therapeutics. Inc. 1SIN: US09075P2048 в количестве 0,75 штук по месту храпения ЗАО СПБ РДЦ, находящихся в портфеле заявителя.</w:t>
      </w:r>
    </w:p>
    <w:p w14:paraId="4A000000">
      <w:pPr>
        <w:pStyle w:val="Style_3"/>
        <w:widowControl w:val="1"/>
        <w:ind w:firstLine="709" w:left="0" w:right="0"/>
        <w:jc w:val="both"/>
        <w:rPr>
          <w:rFonts w:ascii="Times New Roman" w:hAnsi="Times New Roman"/>
          <w:sz w:val="26"/>
        </w:rPr>
      </w:pPr>
      <w:r>
        <w:rPr>
          <w:sz w:val="26"/>
        </w:rPr>
        <w:t>06.04.2022 АО «АЛЬФА-БАНК» включён в список специально назначенных граждан и заблокированных лиц, вследствие чего банк попал под санкции полной блокировки. В связи с наложенными ограничениями торговля указанными ценными бумагами на текущий момент невозможна, что подтверждается приложенной заявителем справкой АО «АЛЬФА-БАНК» от 05.02.2026.</w:t>
      </w:r>
    </w:p>
    <w:p w14:paraId="4B000000">
      <w:pPr>
        <w:pStyle w:val="Style_3"/>
        <w:widowControl w:val="1"/>
        <w:ind w:firstLine="709" w:left="0" w:right="0"/>
        <w:jc w:val="both"/>
        <w:rPr>
          <w:sz w:val="26"/>
        </w:rPr>
      </w:pPr>
      <w:r>
        <w:rPr>
          <w:sz w:val="26"/>
        </w:rPr>
        <w:t xml:space="preserve">Отмечено, что </w:t>
      </w:r>
      <w:r>
        <w:rPr>
          <w:sz w:val="26"/>
        </w:rPr>
        <w:t xml:space="preserve"> блокировка ценных бумаг, подразумевающая невозможность получения выплат и/или ограничения по совершению сделок с иностранными цепными бумагами, вызвана не действиями банка, а ограничениями, исходящими от иностранных депозитариев безотносительно места хранения ценных бумаг.</w:t>
      </w:r>
    </w:p>
    <w:p w14:paraId="4C000000">
      <w:pPr>
        <w:pStyle w:val="Style_3"/>
        <w:widowControl w:val="1"/>
        <w:ind w:firstLine="709" w:left="0" w:right="0"/>
        <w:jc w:val="both"/>
        <w:rPr>
          <w:rFonts w:ascii="Times New Roman" w:hAnsi="Times New Roman"/>
          <w:sz w:val="26"/>
        </w:rPr>
      </w:pPr>
      <w:r>
        <w:rPr>
          <w:sz w:val="26"/>
        </w:rPr>
        <w:t>Принимая во внимание вышеуказанные обстоятельства Комиссия руководствуясь пунктом 36 Положения признала, что обстоятельства, препятствующие выполнению требований Федерального закона являются объективными и уважительными.</w:t>
      </w:r>
    </w:p>
    <w:p w14:paraId="4D000000">
      <w:pPr>
        <w:pStyle w:val="Style_3"/>
        <w:widowControl w:val="1"/>
        <w:ind w:firstLine="709" w:left="0" w:right="0"/>
        <w:jc w:val="both"/>
        <w:rPr>
          <w:sz w:val="26"/>
        </w:rPr>
      </w:pPr>
      <w:r>
        <w:rPr>
          <w:sz w:val="26"/>
        </w:rPr>
        <w:t xml:space="preserve">Комиссия рекомендовала государственному гражданскому служащему </w:t>
      </w:r>
      <w:r>
        <w:rPr>
          <w:sz w:val="26"/>
        </w:rPr>
        <w:t xml:space="preserve">произвести отчуждение указанных акций при первой появившейся возможности, </w:t>
      </w:r>
      <w:r>
        <w:rPr>
          <w:sz w:val="26"/>
        </w:rPr>
        <w:br/>
      </w:r>
      <w:r>
        <w:rPr>
          <w:sz w:val="26"/>
        </w:rPr>
        <w:t>о чем известить Комиссию в письменной форме.</w:t>
      </w:r>
    </w:p>
    <w:p w14:paraId="4E000000">
      <w:pPr>
        <w:pStyle w:val="Style_3"/>
        <w:widowControl w:val="1"/>
        <w:ind w:firstLine="709" w:left="0" w:right="0"/>
        <w:jc w:val="both"/>
        <w:rPr>
          <w:rFonts w:ascii="Times New Roman" w:hAnsi="Times New Roman"/>
          <w:sz w:val="26"/>
        </w:rPr>
      </w:pPr>
      <w:r>
        <w:rPr>
          <w:b w:val="1"/>
          <w:sz w:val="26"/>
        </w:rPr>
        <w:t>РЕШИЛИ:</w:t>
      </w:r>
    </w:p>
    <w:p w14:paraId="4F000000">
      <w:pPr>
        <w:pStyle w:val="Style_1"/>
        <w:widowControl w:val="1"/>
        <w:ind w:firstLine="709" w:left="0" w:right="0"/>
        <w:jc w:val="both"/>
        <w:rPr>
          <w:sz w:val="26"/>
        </w:rPr>
      </w:pPr>
      <w:r>
        <w:rPr>
          <w:sz w:val="26"/>
        </w:rPr>
        <w:t xml:space="preserve">1. Решения принимать простым большинством голосов присутствующих </w:t>
      </w:r>
      <w:r>
        <w:rPr>
          <w:sz w:val="26"/>
        </w:rPr>
        <w:br/>
      </w:r>
      <w:r>
        <w:rPr>
          <w:sz w:val="26"/>
        </w:rPr>
        <w:t>на заседании членов Комиссии открытым голосованием.</w:t>
      </w:r>
    </w:p>
    <w:p w14:paraId="50000000">
      <w:pPr>
        <w:pStyle w:val="Style_1"/>
        <w:widowControl w:val="1"/>
        <w:ind w:firstLine="709" w:left="0" w:right="0"/>
        <w:jc w:val="both"/>
        <w:rPr>
          <w:sz w:val="26"/>
        </w:rPr>
      </w:pPr>
      <w:r>
        <w:rPr>
          <w:sz w:val="26"/>
        </w:rPr>
        <w:t>Результаты голосования:</w:t>
      </w:r>
    </w:p>
    <w:tbl>
      <w:tblPr>
        <w:tblStyle w:val="Style_2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392"/>
        <w:gridCol w:w="976"/>
        <w:gridCol w:w="1134"/>
        <w:gridCol w:w="5067"/>
      </w:tblGrid>
      <w:tr>
        <w:tc>
          <w:tcPr>
            <w:tcW w:type="dxa" w:w="2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Член Комиссии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За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Против</w:t>
            </w: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Примечание</w:t>
            </w:r>
          </w:p>
        </w:tc>
      </w:tr>
      <w:tr>
        <w:tc>
          <w:tcPr>
            <w:tcW w:type="dxa" w:w="2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Олуфёрова Е.В.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V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</w:tr>
      <w:tr>
        <w:tc>
          <w:tcPr>
            <w:tcW w:type="dxa" w:w="2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Семяшкин А.А.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V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</w:tr>
      <w:tr>
        <w:tc>
          <w:tcPr>
            <w:tcW w:type="dxa" w:w="2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Ударов А.Ю.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V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</w:tr>
      <w:tr>
        <w:tc>
          <w:tcPr>
            <w:tcW w:type="dxa" w:w="2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Чернега Н.А.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V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</w:tr>
      <w:tr>
        <w:tc>
          <w:tcPr>
            <w:tcW w:type="dxa" w:w="2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Янзинов А.В.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V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</w:tr>
      <w:tr>
        <w:tc>
          <w:tcPr>
            <w:tcW w:type="dxa" w:w="2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Козицина О.Ю.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V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</w:tr>
    </w:tbl>
    <w:p w14:paraId="6D000000">
      <w:pPr>
        <w:pStyle w:val="Style_1"/>
        <w:widowControl w:val="1"/>
        <w:ind w:firstLine="709" w:left="0" w:right="0"/>
        <w:jc w:val="both"/>
        <w:rPr>
          <w:rFonts w:ascii="Times New Roman" w:hAnsi="Times New Roman"/>
          <w:sz w:val="26"/>
        </w:rPr>
      </w:pPr>
      <w:r>
        <w:rPr>
          <w:sz w:val="26"/>
        </w:rPr>
        <w:t>2. Признать, что обстоятельства, препятствующие выполнению государственном гражданским служащим</w:t>
      </w:r>
      <w:r>
        <w:rPr>
          <w:sz w:val="26"/>
        </w:rPr>
        <w:t xml:space="preserve"> </w:t>
      </w:r>
      <w:r>
        <w:rPr>
          <w:sz w:val="26"/>
        </w:rPr>
        <w:t>требований Федерального закона, являются объективными и уважительными.</w:t>
      </w:r>
    </w:p>
    <w:p w14:paraId="6E000000">
      <w:pPr>
        <w:pStyle w:val="Style_3"/>
        <w:widowControl w:val="1"/>
        <w:ind w:firstLine="709" w:left="0" w:right="0"/>
        <w:jc w:val="both"/>
        <w:rPr>
          <w:sz w:val="26"/>
        </w:rPr>
      </w:pPr>
      <w:r>
        <w:rPr>
          <w:sz w:val="26"/>
        </w:rPr>
        <w:t xml:space="preserve">3. </w:t>
      </w:r>
      <w:r>
        <w:rPr>
          <w:sz w:val="26"/>
        </w:rPr>
        <w:t>Рекомендовать государственному гражданскому служащему</w:t>
      </w:r>
      <w:r>
        <w:rPr>
          <w:sz w:val="26"/>
        </w:rPr>
        <w:t>:</w:t>
      </w:r>
    </w:p>
    <w:p w14:paraId="6F000000">
      <w:pPr>
        <w:pStyle w:val="Style_3"/>
        <w:widowControl w:val="1"/>
        <w:ind w:firstLine="709" w:left="0" w:right="0"/>
        <w:jc w:val="both"/>
        <w:rPr>
          <w:sz w:val="26"/>
        </w:rPr>
      </w:pPr>
      <w:r>
        <w:rPr>
          <w:sz w:val="26"/>
        </w:rPr>
        <w:t xml:space="preserve">произвести отчуждение указанных акций в течение трех месяцев со дня прекращения </w:t>
      </w:r>
      <w:r>
        <w:rPr>
          <w:sz w:val="26"/>
        </w:rPr>
        <w:t>блокировки (</w:t>
      </w:r>
      <w:r>
        <w:rPr>
          <w:sz w:val="26"/>
        </w:rPr>
        <w:t>запрета</w:t>
      </w:r>
      <w:r>
        <w:rPr>
          <w:sz w:val="26"/>
        </w:rPr>
        <w:t>)</w:t>
      </w:r>
      <w:r>
        <w:rPr>
          <w:sz w:val="26"/>
        </w:rPr>
        <w:t xml:space="preserve"> распоряжения;</w:t>
      </w:r>
    </w:p>
    <w:p w14:paraId="70000000">
      <w:pPr>
        <w:pStyle w:val="Style_3"/>
        <w:widowControl w:val="1"/>
        <w:ind w:firstLine="709" w:left="0" w:right="0"/>
        <w:jc w:val="both"/>
        <w:rPr>
          <w:sz w:val="26"/>
        </w:rPr>
      </w:pPr>
      <w:r>
        <w:rPr>
          <w:sz w:val="26"/>
        </w:rPr>
        <w:t>известить Комиссию в письменной форме о выполнении требований Федерального закона.</w:t>
      </w:r>
    </w:p>
    <w:p w14:paraId="71000000">
      <w:pPr>
        <w:pStyle w:val="Style_1"/>
        <w:widowControl w:val="1"/>
        <w:ind w:firstLine="709" w:left="0" w:right="0"/>
        <w:jc w:val="both"/>
        <w:rPr>
          <w:sz w:val="26"/>
        </w:rPr>
      </w:pPr>
      <w:r>
        <w:rPr>
          <w:sz w:val="26"/>
        </w:rPr>
        <w:t>Результаты голосования:</w:t>
      </w:r>
    </w:p>
    <w:tbl>
      <w:tblPr>
        <w:tblStyle w:val="Style_2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392"/>
        <w:gridCol w:w="976"/>
        <w:gridCol w:w="1134"/>
        <w:gridCol w:w="5067"/>
      </w:tblGrid>
      <w:tr>
        <w:tc>
          <w:tcPr>
            <w:tcW w:type="dxa" w:w="2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Член Комиссии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За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Против</w:t>
            </w: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Примечание</w:t>
            </w:r>
          </w:p>
        </w:tc>
      </w:tr>
      <w:tr>
        <w:tc>
          <w:tcPr>
            <w:tcW w:type="dxa" w:w="2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Олуфёрова Е.В.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V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</w:tr>
      <w:tr>
        <w:tc>
          <w:tcPr>
            <w:tcW w:type="dxa" w:w="2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Семяшкин А.А.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V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</w:tr>
      <w:tr>
        <w:tc>
          <w:tcPr>
            <w:tcW w:type="dxa" w:w="2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Ударов А.Ю.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V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</w:tr>
      <w:tr>
        <w:tc>
          <w:tcPr>
            <w:tcW w:type="dxa" w:w="2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Чернега Н.А.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V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</w:tr>
      <w:tr>
        <w:tc>
          <w:tcPr>
            <w:tcW w:type="dxa" w:w="2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Янзинов А.В.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V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</w:tr>
      <w:tr>
        <w:tc>
          <w:tcPr>
            <w:tcW w:type="dxa" w:w="2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Козицина О.Ю.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000000"/>
                <w:spacing w:val="0"/>
                <w:sz w:val="26"/>
              </w:rPr>
              <w:t>V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</w:tr>
    </w:tbl>
    <w:p w14:paraId="8E000000">
      <w:pPr>
        <w:pStyle w:val="Style_1"/>
        <w:widowControl w:val="1"/>
        <w:ind w:firstLine="709" w:left="0" w:right="0"/>
        <w:jc w:val="both"/>
        <w:rPr>
          <w:sz w:val="26"/>
        </w:rPr>
      </w:pPr>
    </w:p>
    <w:p w14:paraId="8F000000">
      <w:pPr>
        <w:pStyle w:val="Style_1"/>
        <w:widowControl w:val="1"/>
        <w:ind/>
        <w:jc w:val="both"/>
        <w:rPr>
          <w:sz w:val="26"/>
        </w:rPr>
      </w:pPr>
      <w:r>
        <w:rPr>
          <w:sz w:val="26"/>
        </w:rPr>
        <w:t>Председатель Комиссии                                                                        Олуфёрова Е.В.</w:t>
      </w:r>
    </w:p>
    <w:p w14:paraId="90000000">
      <w:pPr>
        <w:pStyle w:val="Style_1"/>
        <w:widowControl w:val="1"/>
        <w:ind/>
        <w:jc w:val="both"/>
        <w:rPr>
          <w:sz w:val="26"/>
        </w:rPr>
      </w:pPr>
    </w:p>
    <w:p w14:paraId="91000000">
      <w:pPr>
        <w:pStyle w:val="Style_1"/>
        <w:widowControl w:val="1"/>
        <w:ind/>
        <w:jc w:val="both"/>
        <w:rPr>
          <w:sz w:val="26"/>
        </w:rPr>
      </w:pPr>
      <w:r>
        <w:rPr>
          <w:sz w:val="26"/>
        </w:rPr>
        <w:t>Секретарь Комиссии                                                                              Семяшкин А.А.</w:t>
      </w:r>
    </w:p>
    <w:p w14:paraId="92000000">
      <w:pPr>
        <w:pStyle w:val="Style_1"/>
        <w:widowControl w:val="1"/>
        <w:ind/>
        <w:jc w:val="both"/>
        <w:rPr>
          <w:sz w:val="26"/>
        </w:rPr>
      </w:pPr>
    </w:p>
    <w:p w14:paraId="93000000">
      <w:pPr>
        <w:pStyle w:val="Style_1"/>
        <w:widowControl w:val="1"/>
        <w:ind/>
        <w:jc w:val="both"/>
        <w:rPr>
          <w:sz w:val="26"/>
        </w:rPr>
      </w:pPr>
      <w:r>
        <w:rPr>
          <w:sz w:val="26"/>
        </w:rPr>
        <w:t>Члены Комиссии                                                                                    Ударов А.Ю.</w:t>
      </w:r>
    </w:p>
    <w:p w14:paraId="94000000">
      <w:pPr>
        <w:pStyle w:val="Style_1"/>
        <w:widowControl w:val="1"/>
        <w:ind w:firstLine="0" w:left="7371" w:right="0"/>
        <w:rPr>
          <w:sz w:val="26"/>
        </w:rPr>
      </w:pPr>
    </w:p>
    <w:p w14:paraId="95000000">
      <w:pPr>
        <w:pStyle w:val="Style_1"/>
        <w:widowControl w:val="1"/>
        <w:ind w:firstLine="0" w:left="7371" w:right="0"/>
        <w:rPr>
          <w:sz w:val="26"/>
        </w:rPr>
      </w:pPr>
      <w:r>
        <w:rPr>
          <w:sz w:val="26"/>
        </w:rPr>
        <w:t>Чернега Н.А.</w:t>
      </w:r>
    </w:p>
    <w:p w14:paraId="96000000">
      <w:pPr>
        <w:pStyle w:val="Style_1"/>
        <w:widowControl w:val="1"/>
        <w:ind w:firstLine="0" w:left="7371" w:right="0"/>
        <w:rPr>
          <w:sz w:val="26"/>
        </w:rPr>
      </w:pPr>
      <w:r>
        <w:rPr>
          <w:sz w:val="26"/>
        </w:rPr>
        <w:t>Янзинов А.В.</w:t>
      </w:r>
    </w:p>
    <w:p w14:paraId="97000000">
      <w:pPr>
        <w:pStyle w:val="Style_1"/>
        <w:widowControl w:val="1"/>
        <w:ind w:firstLine="0" w:left="7371" w:right="0"/>
        <w:rPr>
          <w:sz w:val="26"/>
        </w:rPr>
      </w:pPr>
      <w:r>
        <w:rPr>
          <w:sz w:val="26"/>
        </w:rPr>
        <w:t>Козицина О.Ю.</w:t>
      </w:r>
    </w:p>
    <w:sectPr>
      <w:type w:val="nextPage"/>
      <w:pgSz w:h="16838" w:orient="portrait" w:w="11906"/>
      <w:pgMar w:bottom="935" w:footer="0" w:gutter="0" w:header="0" w:left="1701" w:right="851" w:top="87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pacing w:val="0"/>
      <w:sz w:val="24"/>
    </w:rPr>
  </w:style>
  <w:style w:styleId="Style_4" w:type="paragraph">
    <w:name w:val="toc 2"/>
    <w:next w:val="Style_1"/>
    <w:link w:val="Style_4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4"/>
    <w:next w:val="Style_1"/>
    <w:link w:val="Style_5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4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Subtitle1"/>
    <w:link w:val="Style_6_ch"/>
    <w:rPr>
      <w:rFonts w:ascii="XO Thames" w:hAnsi="XO Thames"/>
      <w:i w:val="1"/>
      <w:sz w:val="24"/>
    </w:rPr>
  </w:style>
  <w:style w:styleId="Style_6_ch" w:type="character">
    <w:name w:val="Subtitle1"/>
    <w:link w:val="Style_6"/>
    <w:rPr>
      <w:rFonts w:ascii="XO Thames" w:hAnsi="XO Thames"/>
      <w:i w:val="1"/>
      <w:sz w:val="24"/>
    </w:rPr>
  </w:style>
  <w:style w:styleId="Style_7" w:type="paragraph">
    <w:name w:val="toc 6"/>
    <w:next w:val="Style_1"/>
    <w:link w:val="Style_7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6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7"/>
    <w:next w:val="Style_1"/>
    <w:link w:val="Style_8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7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Contents 2"/>
    <w:link w:val="Style_9_ch"/>
    <w:rPr>
      <w:rFonts w:ascii="XO Thames" w:hAnsi="XO Thames"/>
      <w:sz w:val="28"/>
    </w:rPr>
  </w:style>
  <w:style w:styleId="Style_9_ch" w:type="character">
    <w:name w:val="Contents 2"/>
    <w:link w:val="Style_9"/>
    <w:rPr>
      <w:rFonts w:ascii="XO Thames" w:hAnsi="XO Thames"/>
      <w:sz w:val="28"/>
    </w:rPr>
  </w:style>
  <w:style w:styleId="Style_10" w:type="paragraph">
    <w:name w:val="Strong Emphasis"/>
    <w:link w:val="Style_1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0"/>
    </w:rPr>
  </w:style>
  <w:style w:styleId="Style_10_ch" w:type="character">
    <w:name w:val="Strong Emphasis"/>
    <w:link w:val="Style_10"/>
    <w:rPr>
      <w:rFonts w:ascii="Times New Roman" w:hAnsi="Times New Roman"/>
      <w:b w:val="1"/>
      <w:color w:val="000000"/>
      <w:spacing w:val="0"/>
      <w:sz w:val="20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1"/>
    <w:link w:val="Style_12_ch"/>
    <w:uiPriority w:val="9"/>
    <w:qFormat/>
    <w:pPr>
      <w:widowControl w:val="1"/>
      <w:spacing w:afterAutospacing="on" w:beforeAutospacing="on"/>
      <w:ind/>
      <w:outlineLvl w:val="2"/>
    </w:pPr>
    <w:rPr>
      <w:b w:val="1"/>
      <w:sz w:val="27"/>
    </w:rPr>
  </w:style>
  <w:style w:styleId="Style_12_ch" w:type="character">
    <w:name w:val="heading 3"/>
    <w:basedOn w:val="Style_1_ch"/>
    <w:link w:val="Style_12"/>
    <w:rPr>
      <w:b w:val="1"/>
      <w:sz w:val="27"/>
    </w:rPr>
  </w:style>
  <w:style w:styleId="Style_13" w:type="paragraph">
    <w:name w:val="Heading 51"/>
    <w:link w:val="Style_13_ch"/>
    <w:rPr>
      <w:rFonts w:ascii="XO Thames" w:hAnsi="XO Thames"/>
      <w:b w:val="1"/>
      <w:sz w:val="22"/>
    </w:rPr>
  </w:style>
  <w:style w:styleId="Style_13_ch" w:type="character">
    <w:name w:val="Heading 51"/>
    <w:link w:val="Style_13"/>
    <w:rPr>
      <w:rFonts w:ascii="XO Thames" w:hAnsi="XO Thames"/>
      <w:b w:val="1"/>
      <w:sz w:val="22"/>
    </w:rPr>
  </w:style>
  <w:style w:styleId="Style_14" w:type="paragraph">
    <w:name w:val="Contents 5"/>
    <w:link w:val="Style_14_ch"/>
    <w:rPr>
      <w:rFonts w:ascii="XO Thames" w:hAnsi="XO Thames"/>
      <w:sz w:val="28"/>
    </w:rPr>
  </w:style>
  <w:style w:styleId="Style_14_ch" w:type="character">
    <w:name w:val="Contents 5"/>
    <w:link w:val="Style_14"/>
    <w:rPr>
      <w:rFonts w:ascii="XO Thames" w:hAnsi="XO Thames"/>
      <w:sz w:val="28"/>
    </w:rPr>
  </w:style>
  <w:style w:styleId="Style_15" w:type="paragraph">
    <w:name w:val="Заголовок"/>
    <w:basedOn w:val="Style_1"/>
    <w:next w:val="Style_16"/>
    <w:link w:val="Style_15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5_ch" w:type="character">
    <w:name w:val="Заголовок"/>
    <w:basedOn w:val="Style_1_ch"/>
    <w:link w:val="Style_15"/>
    <w:rPr>
      <w:rFonts w:ascii="PT Astra Serif" w:hAnsi="PT Astra Serif"/>
      <w:sz w:val="28"/>
    </w:rPr>
  </w:style>
  <w:style w:styleId="Style_17" w:type="paragraph">
    <w:name w:val="Title1"/>
    <w:link w:val="Style_17_ch"/>
    <w:rPr>
      <w:rFonts w:ascii="XO Thames" w:hAnsi="XO Thames"/>
      <w:b w:val="1"/>
      <w:caps w:val="1"/>
      <w:sz w:val="40"/>
    </w:rPr>
  </w:style>
  <w:style w:styleId="Style_17_ch" w:type="character">
    <w:name w:val="Title1"/>
    <w:link w:val="Style_17"/>
    <w:rPr>
      <w:rFonts w:ascii="XO Thames" w:hAnsi="XO Thames"/>
      <w:b w:val="1"/>
      <w:caps w:val="1"/>
      <w:sz w:val="40"/>
    </w:rPr>
  </w:style>
  <w:style w:styleId="Style_18" w:type="paragraph">
    <w:name w:val="toc 3"/>
    <w:next w:val="Style_1"/>
    <w:link w:val="Style_18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3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Contents 7"/>
    <w:link w:val="Style_19_ch"/>
    <w:rPr>
      <w:rFonts w:ascii="XO Thames" w:hAnsi="XO Thames"/>
      <w:sz w:val="28"/>
    </w:rPr>
  </w:style>
  <w:style w:styleId="Style_19_ch" w:type="character">
    <w:name w:val="Contents 7"/>
    <w:link w:val="Style_19"/>
    <w:rPr>
      <w:rFonts w:ascii="XO Thames" w:hAnsi="XO Thames"/>
      <w:sz w:val="28"/>
    </w:rPr>
  </w:style>
  <w:style w:styleId="Style_20" w:type="paragraph">
    <w:name w:val="Endnote1"/>
    <w:link w:val="Style_2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0_ch" w:type="character">
    <w:name w:val="Endnote1"/>
    <w:link w:val="Style_20"/>
    <w:rPr>
      <w:rFonts w:ascii="XO Thames" w:hAnsi="XO Thames"/>
      <w:color w:val="000000"/>
      <w:spacing w:val="0"/>
      <w:sz w:val="22"/>
    </w:rPr>
  </w:style>
  <w:style w:styleId="Style_3" w:type="paragraph">
    <w:name w:val="Default1"/>
    <w:link w:val="Style_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3_ch" w:type="character">
    <w:name w:val="Default1"/>
    <w:link w:val="Style_3"/>
    <w:rPr>
      <w:rFonts w:ascii="Times New Roman" w:hAnsi="Times New Roman"/>
      <w:color w:val="000000"/>
      <w:spacing w:val="0"/>
      <w:sz w:val="24"/>
    </w:rPr>
  </w:style>
  <w:style w:styleId="Style_21" w:type="paragraph">
    <w:name w:val="Balloon Text1"/>
    <w:basedOn w:val="Style_1"/>
    <w:link w:val="Style_21_ch"/>
    <w:rPr>
      <w:rFonts w:ascii="Tahoma" w:hAnsi="Tahoma"/>
      <w:sz w:val="16"/>
    </w:rPr>
  </w:style>
  <w:style w:styleId="Style_21_ch" w:type="character">
    <w:name w:val="Balloon Text1"/>
    <w:basedOn w:val="Style_1_ch"/>
    <w:link w:val="Style_21"/>
    <w:rPr>
      <w:rFonts w:ascii="Tahoma" w:hAnsi="Tahoma"/>
      <w:sz w:val="16"/>
    </w:rPr>
  </w:style>
  <w:style w:styleId="Style_22" w:type="paragraph">
    <w:name w:val="Header and Footer1"/>
    <w:link w:val="Style_22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2_ch" w:type="character">
    <w:name w:val="Header and Footer1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heading 5"/>
    <w:next w:val="Style_1"/>
    <w:link w:val="Style_2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3_ch" w:type="character">
    <w:name w:val="heading 5"/>
    <w:link w:val="Style_23"/>
    <w:rPr>
      <w:rFonts w:ascii="XO Thames" w:hAnsi="XO Thames"/>
      <w:b w:val="1"/>
      <w:color w:val="000000"/>
      <w:spacing w:val="0"/>
      <w:sz w:val="22"/>
    </w:rPr>
  </w:style>
  <w:style w:styleId="Style_16" w:type="paragraph">
    <w:name w:val="Body Text"/>
    <w:basedOn w:val="Style_1"/>
    <w:link w:val="Style_16_ch"/>
    <w:pPr>
      <w:widowControl w:val="1"/>
      <w:spacing w:after="140" w:before="0" w:line="276" w:lineRule="auto"/>
      <w:ind/>
    </w:pPr>
  </w:style>
  <w:style w:styleId="Style_16_ch" w:type="character">
    <w:name w:val="Body Text"/>
    <w:basedOn w:val="Style_1_ch"/>
    <w:link w:val="Style_16"/>
  </w:style>
  <w:style w:styleId="Style_24" w:type="paragraph">
    <w:name w:val="List"/>
    <w:basedOn w:val="Style_16"/>
    <w:link w:val="Style_24_ch"/>
    <w:rPr>
      <w:rFonts w:ascii="PT Astra Serif" w:hAnsi="PT Astra Serif"/>
    </w:rPr>
  </w:style>
  <w:style w:styleId="Style_24_ch" w:type="character">
    <w:name w:val="List"/>
    <w:basedOn w:val="Style_16_ch"/>
    <w:link w:val="Style_24"/>
    <w:rPr>
      <w:rFonts w:ascii="PT Astra Serif" w:hAnsi="PT Astra Serif"/>
    </w:rPr>
  </w:style>
  <w:style w:styleId="Style_25" w:type="paragraph">
    <w:name w:val="Heading 21"/>
    <w:link w:val="Style_25_ch"/>
    <w:rPr>
      <w:rFonts w:ascii="XO Thames" w:hAnsi="XO Thames"/>
      <w:b w:val="1"/>
      <w:sz w:val="28"/>
    </w:rPr>
  </w:style>
  <w:style w:styleId="Style_25_ch" w:type="character">
    <w:name w:val="Heading 21"/>
    <w:link w:val="Style_25"/>
    <w:rPr>
      <w:rFonts w:ascii="XO Thames" w:hAnsi="XO Thames"/>
      <w:b w:val="1"/>
      <w:sz w:val="28"/>
    </w:rPr>
  </w:style>
  <w:style w:styleId="Style_26" w:type="paragraph">
    <w:name w:val="heading 1"/>
    <w:next w:val="Style_1"/>
    <w:link w:val="Style_2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6_ch" w:type="character">
    <w:name w:val="heading 1"/>
    <w:link w:val="Style_26"/>
    <w:rPr>
      <w:rFonts w:ascii="XO Thames" w:hAnsi="XO Thames"/>
      <w:b w:val="1"/>
      <w:color w:val="000000"/>
      <w:spacing w:val="0"/>
      <w:sz w:val="32"/>
    </w:rPr>
  </w:style>
  <w:style w:styleId="Style_27" w:type="paragraph">
    <w:name w:val="Contents 6"/>
    <w:link w:val="Style_27_ch"/>
    <w:rPr>
      <w:rFonts w:ascii="XO Thames" w:hAnsi="XO Thames"/>
      <w:sz w:val="28"/>
    </w:rPr>
  </w:style>
  <w:style w:styleId="Style_27_ch" w:type="character">
    <w:name w:val="Contents 6"/>
    <w:link w:val="Style_27"/>
    <w:rPr>
      <w:rFonts w:ascii="XO Thames" w:hAnsi="XO Thames"/>
      <w:sz w:val="28"/>
    </w:rPr>
  </w:style>
  <w:style w:styleId="Style_28" w:type="paragraph">
    <w:name w:val="Heading 11"/>
    <w:link w:val="Style_28_ch"/>
    <w:rPr>
      <w:rFonts w:ascii="XO Thames" w:hAnsi="XO Thames"/>
      <w:b w:val="1"/>
      <w:sz w:val="32"/>
    </w:rPr>
  </w:style>
  <w:style w:styleId="Style_28_ch" w:type="character">
    <w:name w:val="Heading 11"/>
    <w:link w:val="Style_28"/>
    <w:rPr>
      <w:rFonts w:ascii="XO Thames" w:hAnsi="XO Thames"/>
      <w:b w:val="1"/>
      <w:sz w:val="32"/>
    </w:rPr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Contents 8"/>
    <w:link w:val="Style_31_ch"/>
    <w:rPr>
      <w:rFonts w:ascii="XO Thames" w:hAnsi="XO Thames"/>
      <w:sz w:val="28"/>
    </w:rPr>
  </w:style>
  <w:style w:styleId="Style_31_ch" w:type="character">
    <w:name w:val="Contents 8"/>
    <w:link w:val="Style_31"/>
    <w:rPr>
      <w:rFonts w:ascii="XO Thames" w:hAnsi="XO Thames"/>
      <w:sz w:val="28"/>
    </w:rPr>
  </w:style>
  <w:style w:styleId="Style_32" w:type="paragraph">
    <w:name w:val="Strong"/>
    <w:link w:val="Style_32_ch"/>
    <w:rPr>
      <w:b w:val="1"/>
    </w:rPr>
  </w:style>
  <w:style w:styleId="Style_32_ch" w:type="character">
    <w:name w:val="Strong"/>
    <w:link w:val="Style_32"/>
    <w:rPr>
      <w:b w:val="1"/>
    </w:rPr>
  </w:style>
  <w:style w:styleId="Style_33" w:type="paragraph">
    <w:name w:val="toc 1"/>
    <w:next w:val="Style_1"/>
    <w:link w:val="Style_33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3_ch" w:type="character">
    <w:name w:val="toc 1"/>
    <w:link w:val="Style_33"/>
    <w:rPr>
      <w:rFonts w:ascii="XO Thames" w:hAnsi="XO Thames"/>
      <w:b w:val="1"/>
      <w:color w:val="000000"/>
      <w:spacing w:val="0"/>
      <w:sz w:val="28"/>
    </w:rPr>
  </w:style>
  <w:style w:styleId="Style_34" w:type="paragraph">
    <w:name w:val="Header and Footer"/>
    <w:link w:val="Style_3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4_ch" w:type="character">
    <w:name w:val="Header and Footer"/>
    <w:link w:val="Style_34"/>
    <w:rPr>
      <w:rFonts w:ascii="XO Thames" w:hAnsi="XO Thames"/>
      <w:sz w:val="28"/>
    </w:rPr>
  </w:style>
  <w:style w:styleId="Style_35" w:type="paragraph">
    <w:name w:val="List Paragraph1"/>
    <w:basedOn w:val="Style_1"/>
    <w:link w:val="Style_35_ch"/>
    <w:pPr>
      <w:widowControl w:val="1"/>
      <w:ind w:firstLine="720" w:left="708"/>
      <w:jc w:val="both"/>
    </w:pPr>
  </w:style>
  <w:style w:styleId="Style_35_ch" w:type="character">
    <w:name w:val="List Paragraph1"/>
    <w:basedOn w:val="Style_1_ch"/>
    <w:link w:val="Style_35"/>
  </w:style>
  <w:style w:styleId="Style_36" w:type="paragraph">
    <w:name w:val="Heading 31"/>
    <w:link w:val="Style_36_ch"/>
    <w:rPr>
      <w:b w:val="1"/>
      <w:sz w:val="27"/>
    </w:rPr>
  </w:style>
  <w:style w:styleId="Style_36_ch" w:type="character">
    <w:name w:val="Heading 31"/>
    <w:link w:val="Style_36"/>
    <w:rPr>
      <w:b w:val="1"/>
      <w:sz w:val="27"/>
    </w:rPr>
  </w:style>
  <w:style w:styleId="Style_37" w:type="paragraph">
    <w:name w:val="toc 9"/>
    <w:next w:val="Style_1"/>
    <w:link w:val="Style_37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7_ch" w:type="character">
    <w:name w:val="toc 9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Contents 1"/>
    <w:link w:val="Style_38_ch"/>
    <w:rPr>
      <w:rFonts w:ascii="XO Thames" w:hAnsi="XO Thames"/>
      <w:b w:val="1"/>
      <w:sz w:val="28"/>
    </w:rPr>
  </w:style>
  <w:style w:styleId="Style_38_ch" w:type="character">
    <w:name w:val="Contents 1"/>
    <w:link w:val="Style_38"/>
    <w:rPr>
      <w:rFonts w:ascii="XO Thames" w:hAnsi="XO Thames"/>
      <w:b w:val="1"/>
      <w:sz w:val="28"/>
    </w:rPr>
  </w:style>
  <w:style w:styleId="Style_39" w:type="paragraph">
    <w:name w:val="Contents 4"/>
    <w:link w:val="Style_39_ch"/>
    <w:rPr>
      <w:rFonts w:ascii="XO Thames" w:hAnsi="XO Thames"/>
      <w:sz w:val="28"/>
    </w:rPr>
  </w:style>
  <w:style w:styleId="Style_39_ch" w:type="character">
    <w:name w:val="Contents 4"/>
    <w:link w:val="Style_39"/>
    <w:rPr>
      <w:rFonts w:ascii="XO Thames" w:hAnsi="XO Thames"/>
      <w:sz w:val="28"/>
    </w:rPr>
  </w:style>
  <w:style w:styleId="Style_40" w:type="paragraph">
    <w:name w:val="Default Paragraph Font1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0_ch" w:type="character">
    <w:name w:val="Default Paragraph Font1"/>
    <w:link w:val="Style_40"/>
    <w:rPr>
      <w:rFonts w:ascii="Times New Roman" w:hAnsi="Times New Roman"/>
      <w:color w:val="000000"/>
      <w:spacing w:val="0"/>
      <w:sz w:val="20"/>
    </w:rPr>
  </w:style>
  <w:style w:styleId="Style_41" w:type="paragraph">
    <w:name w:val="toc 8"/>
    <w:next w:val="Style_1"/>
    <w:link w:val="Style_41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toc 8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Contents 9"/>
    <w:link w:val="Style_42_ch"/>
    <w:rPr>
      <w:rFonts w:ascii="XO Thames" w:hAnsi="XO Thames"/>
      <w:sz w:val="28"/>
    </w:rPr>
  </w:style>
  <w:style w:styleId="Style_42_ch" w:type="character">
    <w:name w:val="Contents 9"/>
    <w:link w:val="Style_42"/>
    <w:rPr>
      <w:rFonts w:ascii="XO Thames" w:hAnsi="XO Thames"/>
      <w:sz w:val="28"/>
    </w:rPr>
  </w:style>
  <w:style w:styleId="Style_43" w:type="paragraph">
    <w:name w:val="apple-converted-space1"/>
    <w:link w:val="Style_4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3_ch" w:type="character">
    <w:name w:val="apple-converted-space1"/>
    <w:link w:val="Style_43"/>
    <w:rPr>
      <w:rFonts w:ascii="Times New Roman" w:hAnsi="Times New Roman"/>
      <w:color w:val="000000"/>
      <w:spacing w:val="0"/>
      <w:sz w:val="20"/>
    </w:rPr>
  </w:style>
  <w:style w:styleId="Style_44" w:type="paragraph">
    <w:name w:val="toc 5"/>
    <w:next w:val="Style_1"/>
    <w:link w:val="Style_44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4_ch" w:type="character">
    <w:name w:val="toc 5"/>
    <w:link w:val="Style_44"/>
    <w:rPr>
      <w:rFonts w:ascii="XO Thames" w:hAnsi="XO Thames"/>
      <w:color w:val="000000"/>
      <w:spacing w:val="0"/>
      <w:sz w:val="28"/>
    </w:rPr>
  </w:style>
  <w:style w:styleId="Style_45" w:type="paragraph">
    <w:name w:val="caption"/>
    <w:basedOn w:val="Style_1"/>
    <w:link w:val="Style_45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45_ch" w:type="character">
    <w:name w:val="caption"/>
    <w:basedOn w:val="Style_1_ch"/>
    <w:link w:val="Style_45"/>
    <w:rPr>
      <w:rFonts w:ascii="PT Astra Serif" w:hAnsi="PT Astra Serif"/>
      <w:i w:val="1"/>
      <w:sz w:val="24"/>
    </w:rPr>
  </w:style>
  <w:style w:styleId="Style_46" w:type="paragraph">
    <w:name w:val="Internet link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46_ch" w:type="character">
    <w:name w:val="Internet link"/>
    <w:link w:val="Style_46"/>
    <w:rPr>
      <w:rFonts w:ascii="Times New Roman" w:hAnsi="Times New Roman"/>
      <w:color w:val="0000FF"/>
      <w:spacing w:val="0"/>
      <w:sz w:val="20"/>
      <w:u w:val="single"/>
    </w:rPr>
  </w:style>
  <w:style w:styleId="Style_47" w:type="paragraph">
    <w:name w:val="Heading 41"/>
    <w:link w:val="Style_47_ch"/>
    <w:rPr>
      <w:rFonts w:ascii="XO Thames" w:hAnsi="XO Thames"/>
      <w:b w:val="1"/>
      <w:sz w:val="24"/>
    </w:rPr>
  </w:style>
  <w:style w:styleId="Style_47_ch" w:type="character">
    <w:name w:val="Heading 41"/>
    <w:link w:val="Style_47"/>
    <w:rPr>
      <w:rFonts w:ascii="XO Thames" w:hAnsi="XO Thames"/>
      <w:b w:val="1"/>
      <w:sz w:val="24"/>
    </w:rPr>
  </w:style>
  <w:style w:styleId="Style_48" w:type="paragraph">
    <w:name w:val="Указатель"/>
    <w:basedOn w:val="Style_1"/>
    <w:link w:val="Style_48_ch"/>
    <w:rPr>
      <w:rFonts w:ascii="PT Astra Serif" w:hAnsi="PT Astra Serif"/>
    </w:rPr>
  </w:style>
  <w:style w:styleId="Style_48_ch" w:type="character">
    <w:name w:val="Указатель"/>
    <w:basedOn w:val="Style_1_ch"/>
    <w:link w:val="Style_48"/>
    <w:rPr>
      <w:rFonts w:ascii="PT Astra Serif" w:hAnsi="PT Astra Serif"/>
    </w:rPr>
  </w:style>
  <w:style w:styleId="Style_49" w:type="paragraph">
    <w:name w:val="Subtitle"/>
    <w:next w:val="Style_1"/>
    <w:link w:val="Style_49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9_ch" w:type="character">
    <w:name w:val="Subtitle"/>
    <w:link w:val="Style_49"/>
    <w:rPr>
      <w:rFonts w:ascii="XO Thames" w:hAnsi="XO Thames"/>
      <w:i w:val="1"/>
      <w:color w:val="000000"/>
      <w:spacing w:val="0"/>
      <w:sz w:val="24"/>
    </w:rPr>
  </w:style>
  <w:style w:styleId="Style_50" w:type="paragraph">
    <w:name w:val="Title"/>
    <w:next w:val="Style_1"/>
    <w:link w:val="Style_50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50_ch" w:type="character">
    <w:name w:val="Title"/>
    <w:link w:val="Style_50"/>
    <w:rPr>
      <w:rFonts w:ascii="XO Thames" w:hAnsi="XO Thames"/>
      <w:b w:val="1"/>
      <w:caps w:val="1"/>
      <w:color w:val="000000"/>
      <w:spacing w:val="0"/>
      <w:sz w:val="40"/>
    </w:rPr>
  </w:style>
  <w:style w:styleId="Style_51" w:type="paragraph">
    <w:name w:val="heading 4"/>
    <w:next w:val="Style_1"/>
    <w:link w:val="Style_5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51_ch" w:type="character">
    <w:name w:val="heading 4"/>
    <w:link w:val="Style_51"/>
    <w:rPr>
      <w:rFonts w:ascii="XO Thames" w:hAnsi="XO Thames"/>
      <w:b w:val="1"/>
      <w:color w:val="000000"/>
      <w:spacing w:val="0"/>
      <w:sz w:val="24"/>
    </w:rPr>
  </w:style>
  <w:style w:styleId="Style_52" w:type="paragraph">
    <w:name w:val="ConsPlusNormal1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6"/>
    </w:rPr>
  </w:style>
  <w:style w:styleId="Style_52_ch" w:type="character">
    <w:name w:val="ConsPlusNormal1"/>
    <w:link w:val="Style_52"/>
    <w:rPr>
      <w:rFonts w:ascii="Times New Roman" w:hAnsi="Times New Roman"/>
      <w:color w:val="000000"/>
      <w:spacing w:val="0"/>
      <w:sz w:val="26"/>
    </w:rPr>
  </w:style>
  <w:style w:styleId="Style_53" w:type="paragraph">
    <w:name w:val="heading 2"/>
    <w:next w:val="Style_1"/>
    <w:link w:val="Style_5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3_ch" w:type="character">
    <w:name w:val="heading 2"/>
    <w:link w:val="Style_53"/>
    <w:rPr>
      <w:rFonts w:ascii="XO Thames" w:hAnsi="XO Thames"/>
      <w:b w:val="1"/>
      <w:color w:val="000000"/>
      <w:spacing w:val="0"/>
      <w:sz w:val="28"/>
    </w:rPr>
  </w:style>
  <w:style w:styleId="Style_54" w:type="paragraph">
    <w:name w:val="Contents 3"/>
    <w:link w:val="Style_54_ch"/>
    <w:rPr>
      <w:rFonts w:ascii="XO Thames" w:hAnsi="XO Thames"/>
      <w:sz w:val="28"/>
    </w:rPr>
  </w:style>
  <w:style w:styleId="Style_54_ch" w:type="character">
    <w:name w:val="Contents 3"/>
    <w:link w:val="Style_54"/>
    <w:rPr>
      <w:rFonts w:ascii="XO Thames" w:hAnsi="XO Thames"/>
      <w:sz w:val="28"/>
    </w:rPr>
  </w:style>
  <w:style w:styleId="Style_55" w:type="paragraph">
    <w:name w:val="Footnote1"/>
    <w:link w:val="Style_5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5_ch" w:type="character">
    <w:name w:val="Footnote1"/>
    <w:link w:val="Style_55"/>
    <w:rPr>
      <w:rFonts w:ascii="XO Thames" w:hAnsi="XO Thames"/>
      <w:color w:val="000000"/>
      <w:spacing w:val="0"/>
      <w:sz w:val="22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56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2026-08-04T08:18:34Z</dcterms:created>
  <dcterms:modified xsi:type="dcterms:W3CDTF">2026-08-04T08:21:11Z</dcterms:modified>
</cp:coreProperties>
</file>