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Государственная программа Ненецкого автономного округа</w:t>
      </w:r>
    </w:p>
    <w:p w14:paraId="02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«</w:t>
      </w:r>
      <w:r>
        <w:rPr>
          <w:rFonts w:ascii="Times New Roman" w:hAnsi="Times New Roman"/>
          <w:b w:val="1"/>
          <w:sz w:val="26"/>
        </w:rPr>
        <w:t xml:space="preserve">Модернизация жилищно-коммунального хозяйства </w:t>
      </w:r>
    </w:p>
    <w:p w14:paraId="03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Ненецкого автономного округа»</w:t>
      </w:r>
    </w:p>
    <w:p w14:paraId="04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1 квартал 2026 года</w:t>
      </w:r>
    </w:p>
    <w:p w14:paraId="05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6"/>
          <w:u w:val="single"/>
        </w:rPr>
      </w:pPr>
    </w:p>
    <w:tbl>
      <w:tblPr>
        <w:tblStyle w:val="Style_1"/>
        <w:tblW w:type="auto" w:w="0"/>
        <w:tblInd w:type="dxa" w:w="-289"/>
        <w:tblLayout w:type="fixed"/>
      </w:tblPr>
      <w:tblGrid>
        <w:gridCol w:w="3970"/>
        <w:gridCol w:w="1984"/>
        <w:gridCol w:w="1985"/>
        <w:gridCol w:w="1843"/>
      </w:tblGrid>
      <w:tr>
        <w:trPr>
          <w:trHeight w:hRule="atLeast" w:val="943"/>
        </w:trPr>
        <w:tc>
          <w:tcPr>
            <w:tcW w:type="dxa" w:w="3970"/>
            <w:shd w:fill="auto" w:val="clear"/>
            <w:vAlign w:val="center"/>
          </w:tcPr>
          <w:p w14:paraId="06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 финансирования</w:t>
            </w:r>
          </w:p>
        </w:tc>
        <w:tc>
          <w:tcPr>
            <w:tcW w:type="dxa" w:w="1984"/>
            <w:shd w:fill="auto" w:val="clear"/>
            <w:vAlign w:val="center"/>
          </w:tcPr>
          <w:p w14:paraId="07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1985"/>
            <w:shd w:fill="auto" w:val="clear"/>
            <w:vAlign w:val="center"/>
          </w:tcPr>
          <w:p w14:paraId="08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Кассовое исполнение</w:t>
            </w:r>
          </w:p>
        </w:tc>
        <w:tc>
          <w:tcPr>
            <w:tcW w:type="dxa" w:w="1843"/>
            <w:shd w:fill="auto" w:val="clear"/>
            <w:vAlign w:val="center"/>
          </w:tcPr>
          <w:p w14:paraId="09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кассового исполнения (%)</w:t>
            </w:r>
          </w:p>
        </w:tc>
      </w:tr>
      <w:tr>
        <w:trPr>
          <w:trHeight w:hRule="atLeast" w:val="687"/>
        </w:trPr>
        <w:tc>
          <w:tcPr>
            <w:tcW w:type="dxa" w:w="3970"/>
            <w:shd w:fill="auto" w:val="clear"/>
            <w:vAlign w:val="center"/>
          </w:tcPr>
          <w:p w14:paraId="0A000000">
            <w:pPr>
              <w:widowControl w:val="1"/>
              <w:spacing w:after="160" w:line="259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по госпрограмме,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798 298,4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768 935,2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96,3</w:t>
            </w:r>
          </w:p>
        </w:tc>
      </w:tr>
      <w:tr>
        <w:trPr>
          <w:trHeight w:hRule="atLeast" w:val="427"/>
        </w:trPr>
        <w:tc>
          <w:tcPr>
            <w:tcW w:type="dxa" w:w="3970"/>
            <w:shd w:fill="auto" w:val="clear"/>
            <w:vAlign w:val="center"/>
          </w:tcPr>
          <w:p w14:paraId="0E000000">
            <w:pPr>
              <w:widowControl w:val="1"/>
              <w:spacing w:after="160" w:line="259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окружной бюджет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790 980,4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768 935,2</w:t>
            </w:r>
          </w:p>
        </w:tc>
        <w:tc>
          <w:tcPr>
            <w:tcW w:type="dxa" w:w="1843"/>
            <w:tcBorders>
              <w:top w:color="000000" w:sz="4" w:val="single"/>
            </w:tcBorders>
            <w:shd w:fill="auto" w:val="clear"/>
            <w:vAlign w:val="center"/>
          </w:tcPr>
          <w:p w14:paraId="11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96,4</w:t>
            </w:r>
          </w:p>
        </w:tc>
      </w:tr>
      <w:tr>
        <w:trPr>
          <w:trHeight w:hRule="atLeast" w:val="419"/>
        </w:trPr>
        <w:tc>
          <w:tcPr>
            <w:tcW w:type="dxa" w:w="3970"/>
            <w:shd w:fill="auto" w:val="clear"/>
            <w:vAlign w:val="center"/>
          </w:tcPr>
          <w:p w14:paraId="12000000">
            <w:pPr>
              <w:widowControl w:val="1"/>
              <w:spacing w:after="160" w:line="259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6 387,0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411"/>
        </w:trPr>
        <w:tc>
          <w:tcPr>
            <w:tcW w:type="dxa" w:w="3970"/>
            <w:shd w:fill="auto" w:val="clear"/>
            <w:vAlign w:val="center"/>
          </w:tcPr>
          <w:p w14:paraId="16000000">
            <w:pPr>
              <w:widowControl w:val="1"/>
              <w:spacing w:after="160" w:line="259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бюджеты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931,0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418"/>
        </w:trPr>
        <w:tc>
          <w:tcPr>
            <w:tcW w:type="dxa" w:w="3970"/>
            <w:shd w:fill="auto" w:val="clear"/>
            <w:vAlign w:val="center"/>
          </w:tcPr>
          <w:p w14:paraId="1A000000">
            <w:pPr>
              <w:widowControl w:val="1"/>
              <w:spacing w:after="160" w:line="259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type="dxa" w:w="1984"/>
            <w:shd w:fill="auto" w:val="clear"/>
            <w:vAlign w:val="center"/>
          </w:tcPr>
          <w:p w14:paraId="1B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85"/>
            <w:shd w:fill="auto" w:val="clear"/>
            <w:vAlign w:val="center"/>
          </w:tcPr>
          <w:p w14:paraId="1C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43"/>
            <w:shd w:fill="auto" w:val="clear"/>
            <w:vAlign w:val="center"/>
          </w:tcPr>
          <w:p w14:paraId="1D000000">
            <w:pPr>
              <w:widowControl w:val="1"/>
              <w:spacing w:after="160" w:line="259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1E000000"/>
    <w:p w14:paraId="1F000000">
      <w:pPr>
        <w:widowControl w:val="1"/>
        <w:spacing w:after="0" w:line="240" w:lineRule="auto"/>
        <w:ind/>
        <w:jc w:val="center"/>
      </w:pPr>
      <w:r>
        <w:rPr>
          <w:rFonts w:ascii="Times New Roman" w:hAnsi="Times New Roman"/>
          <w:b w:val="1"/>
          <w:sz w:val="26"/>
        </w:rPr>
        <w:t>Пояснительная записка</w:t>
      </w:r>
      <w:r>
        <w:t xml:space="preserve"> </w:t>
      </w:r>
    </w:p>
    <w:p w14:paraId="20000000">
      <w:pPr>
        <w:widowControl w:val="1"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(причины отклонений хода реализации государственной программы </w:t>
      </w:r>
    </w:p>
    <w:p w14:paraId="2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</w:rPr>
        <w:t>от запланированного уровня за 1 квартал 2026 года)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i w:val="1"/>
          <w:sz w:val="26"/>
          <w:u w:val="single"/>
        </w:rPr>
        <w:t xml:space="preserve">Региональный проект Ненецкого автономного округа «Модернизация коммунальной инфраструктуры» 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2026 году предусмотрено финансировани</w:t>
      </w:r>
      <w:r>
        <w:rPr>
          <w:rFonts w:ascii="Times New Roman" w:hAnsi="Times New Roman"/>
          <w:sz w:val="26"/>
        </w:rPr>
        <w:t>е в сумме</w:t>
      </w:r>
      <w:r>
        <w:rPr>
          <w:rFonts w:ascii="Times New Roman" w:hAnsi="Times New Roman"/>
          <w:sz w:val="26"/>
        </w:rPr>
        <w:t xml:space="preserve"> 201 106,8 тыс.</w:t>
      </w:r>
      <w:r>
        <w:rPr>
          <w:rFonts w:ascii="Times New Roman" w:hAnsi="Times New Roman"/>
          <w:sz w:val="26"/>
        </w:rPr>
        <w:t xml:space="preserve"> ру</w:t>
      </w:r>
      <w:r>
        <w:rPr>
          <w:rFonts w:ascii="Times New Roman" w:hAnsi="Times New Roman"/>
          <w:sz w:val="26"/>
        </w:rPr>
        <w:t xml:space="preserve">блей,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в том числе </w:t>
      </w:r>
      <w:r>
        <w:rPr>
          <w:rFonts w:ascii="Times New Roman" w:hAnsi="Times New Roman"/>
          <w:sz w:val="26"/>
        </w:rPr>
        <w:t>за счет средств</w:t>
      </w:r>
      <w:r>
        <w:rPr>
          <w:rFonts w:ascii="Times New Roman" w:hAnsi="Times New Roman"/>
          <w:sz w:val="26"/>
        </w:rPr>
        <w:t xml:space="preserve"> окружного бюджета в размере </w:t>
      </w:r>
      <w:r>
        <w:rPr>
          <w:rFonts w:ascii="Times New Roman" w:hAnsi="Times New Roman"/>
          <w:sz w:val="26"/>
        </w:rPr>
        <w:t>191 051,4</w:t>
      </w:r>
      <w:r>
        <w:rPr>
          <w:rFonts w:ascii="Times New Roman" w:hAnsi="Times New Roman"/>
          <w:sz w:val="26"/>
        </w:rPr>
        <w:t xml:space="preserve"> тыс. рублей,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из них </w:t>
      </w:r>
      <w:r>
        <w:rPr>
          <w:rFonts w:ascii="Times New Roman" w:hAnsi="Times New Roman"/>
          <w:sz w:val="26"/>
        </w:rPr>
        <w:t>за</w:t>
      </w:r>
      <w:r>
        <w:rPr>
          <w:rFonts w:ascii="Times New Roman" w:hAnsi="Times New Roman"/>
          <w:sz w:val="26"/>
        </w:rPr>
        <w:t xml:space="preserve"> счет средств федерального бюджета 106 457,0 тыс. рублей, </w:t>
      </w:r>
      <w:r>
        <w:rPr>
          <w:rFonts w:ascii="Times New Roman" w:hAnsi="Times New Roman"/>
          <w:sz w:val="26"/>
        </w:rPr>
        <w:t>за счет средств местного бюджет</w:t>
      </w:r>
      <w:r>
        <w:rPr>
          <w:rFonts w:ascii="Times New Roman" w:hAnsi="Times New Roman"/>
          <w:sz w:val="26"/>
        </w:rPr>
        <w:t>а 10 055,4 тыс. рублей.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отчетном периоде предусмотрено финансирование в разм</w:t>
      </w:r>
      <w:r>
        <w:rPr>
          <w:rFonts w:ascii="Times New Roman" w:hAnsi="Times New Roman"/>
          <w:sz w:val="26"/>
        </w:rPr>
        <w:t>ере</w:t>
      </w:r>
      <w:r>
        <w:rPr>
          <w:rFonts w:ascii="Times New Roman" w:hAnsi="Times New Roman"/>
          <w:sz w:val="26"/>
        </w:rPr>
        <w:t xml:space="preserve"> 18 618,5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>ыс. руб</w:t>
      </w:r>
      <w:r>
        <w:rPr>
          <w:rFonts w:ascii="Times New Roman" w:hAnsi="Times New Roman"/>
          <w:sz w:val="26"/>
        </w:rPr>
        <w:t xml:space="preserve">лей, в том числе </w:t>
      </w:r>
      <w:r>
        <w:rPr>
          <w:rFonts w:ascii="Times New Roman" w:hAnsi="Times New Roman"/>
          <w:sz w:val="26"/>
        </w:rPr>
        <w:t>за счет средств окружного бюджета 17 687,5 тыс. рублей,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из них за счет средств федерального бюджета 6 387,0 тыс. рублей, </w:t>
      </w:r>
      <w:r>
        <w:rPr>
          <w:rFonts w:ascii="Times New Roman" w:hAnsi="Times New Roman"/>
          <w:sz w:val="26"/>
        </w:rPr>
        <w:t>за счет средств местного бюджета 931,0 тыс. рублей</w:t>
      </w:r>
      <w:r>
        <w:rPr>
          <w:rFonts w:ascii="Times New Roman" w:hAnsi="Times New Roman"/>
          <w:sz w:val="26"/>
        </w:rPr>
        <w:t xml:space="preserve"> (оплата аванса для выполнения работ)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По состоянию на 01.04.2026 года кассовое исполнение бюджетов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не осуществлялось.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целях выполнения объекта «Строительство модульной котельной № 13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в п. Лесозавод Нарьян-Марского МУ ПОК и ТС» между Администрацией муниципального образования «Городской округ «Город Нарьян-Мар»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и ресурсоснабжающей организацией Нарьян-Марским муниципальным унитарным предприятием объединенных котельных и тепловых сетей заключено соглашение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о предоставлении в 2026 году субсидии на осуществление капитальных вложений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 в объекты капитального строительства муниципальной собственности муниципа</w:t>
      </w:r>
      <w:r>
        <w:rPr>
          <w:rFonts w:ascii="XO Thames" w:hAnsi="XO Thames"/>
          <w:sz w:val="26"/>
        </w:rPr>
        <w:t xml:space="preserve">льного образования «Городской округ «Город Нарьян-Мар»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от 05.02.2026 № 2. 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Электронный аукцион по выполнению части работ на Объекте, размещенный Нарьян-Марский МУ ПОК и ТС 06.03.2026 в Единой информационной системе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сфере закупок, 16.03.2026 признан не состоявшимся из-за отсутствия поданных заявок.</w:t>
      </w: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Balloon Text"/>
    <w:basedOn w:val="Style_2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2_ch"/>
    <w:link w:val="Style_21"/>
    <w:rPr>
      <w:rFonts w:ascii="Segoe UI" w:hAnsi="Segoe UI"/>
      <w:sz w:val="18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Table Grid"/>
    <w:basedOn w:val="Style_2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2025-04-18T05:58:00Z</dcterms:created>
  <dcterms:modified xsi:type="dcterms:W3CDTF">2026-04-10T09:07:26Z</dcterms:modified>
</cp:coreProperties>
</file>