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media/image1.png" ContentType="image/png"/>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8" w:type="dxa"/>
        <w:jc w:val="start"/>
        <w:tblInd w:w="80" w:type="dxa"/>
        <w:tblLayout w:type="fixed"/>
        <w:tblCellMar>
          <w:top w:w="60" w:type="dxa"/>
          <w:start w:w="80" w:type="dxa"/>
          <w:bottom w:w="60" w:type="dxa"/>
          <w:end w:w="80" w:type="dxa"/>
        </w:tblCellMar>
      </w:tblPr>
      <w:tblGrid>
        <w:gridCol w:w="10208"/>
      </w:tblGrid>
      <w:tr>
        <w:trPr>
          <w:trHeight w:val="2791" w:hRule="exact"/>
        </w:trPr>
        <w:tc>
          <w:tcPr>
            <w:tcW w:w="10208" w:type="dxa"/>
            <w:tcBorders/>
          </w:tcPr>
          <w:p>
            <w:pPr>
              <w:pStyle w:val="ConsPlusTitlePage"/>
              <w:tabs>
                <w:tab w:val="clear" w:pos="720"/>
              </w:tabs>
              <w:bidi w:val="0"/>
              <w:ind w:hanging="0" w:start="0"/>
              <w:jc w:val="start"/>
              <w:rPr>
                <w:sz w:val="20"/>
              </w:rPr>
            </w:pPr>
            <w:r>
              <w:rPr/>
              <w:drawing>
                <wp:inline distT="0" distB="0" distL="0" distR="0">
                  <wp:extent cx="3810000" cy="904875"/>
                  <wp:effectExtent l="0" t="0" r="0" b="0"/>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tretch>
                            <a:fillRect/>
                          </a:stretch>
                        </pic:blipFill>
                        <pic:spPr bwMode="auto">
                          <a:xfrm>
                            <a:off x="0" y="0"/>
                            <a:ext cx="3810000" cy="904875"/>
                          </a:xfrm>
                          <a:prstGeom prst="rect">
                            <a:avLst/>
                          </a:prstGeom>
                          <a:noFill/>
                        </pic:spPr>
                      </pic:pic>
                    </a:graphicData>
                  </a:graphic>
                </wp:inline>
              </w:drawing>
            </w:r>
          </w:p>
        </w:tc>
      </w:tr>
      <w:tr>
        <w:trPr>
          <w:trHeight w:val="7676" w:hRule="exact"/>
        </w:trPr>
        <w:tc>
          <w:tcPr>
            <w:tcW w:w="10208" w:type="dxa"/>
            <w:tcBorders/>
            <w:vAlign w:val="center"/>
          </w:tcPr>
          <w:p>
            <w:pPr>
              <w:pStyle w:val="ConsPlusTitlePage"/>
              <w:tabs>
                <w:tab w:val="clear" w:pos="720"/>
              </w:tabs>
              <w:bidi w:val="0"/>
              <w:ind w:hanging="0" w:start="0"/>
              <w:jc w:val="center"/>
              <w:rPr/>
            </w:pPr>
            <w:r>
              <w:rPr>
                <w:sz w:val="48"/>
              </w:rPr>
              <w:t>Постановление Правительства РФ от 08.12.2022 N 2253</w:t>
              <w:br/>
              <w:t>(ред. от 03.07.2025)</w:t>
              <w:br/>
              <w:t>"Об утверждении Правил предоставления публично-правовой компанией "Фонд развития территорий" финансовой поддержки бюджетам субъектов Российской Федерации за счет средств публично-правовой компании "Фонд развития территорий" на модернизацию систем коммунальной инфраструктуры на 2023 - 2027 годы и о внесении изменений в Положение о Правительственной комиссии по региональному развитию в Российской Федерации"</w:t>
            </w:r>
          </w:p>
        </w:tc>
      </w:tr>
      <w:tr>
        <w:trPr>
          <w:trHeight w:val="2791" w:hRule="exact"/>
        </w:trPr>
        <w:tc>
          <w:tcPr>
            <w:tcW w:w="10208" w:type="dxa"/>
            <w:tcBorders/>
            <w:vAlign w:val="center"/>
          </w:tcPr>
          <w:p>
            <w:pPr>
              <w:pStyle w:val="ConsPlusTitlePage"/>
              <w:tabs>
                <w:tab w:val="clear" w:pos="720"/>
              </w:tabs>
              <w:bidi w:val="0"/>
              <w:ind w:hanging="0" w:start="0"/>
              <w:jc w:val="center"/>
              <w:rPr/>
            </w:pPr>
            <w:r>
              <w:rPr>
                <w:sz w:val="28"/>
              </w:rPr>
              <w:t xml:space="preserve">Документ предоставлен </w:t>
            </w:r>
            <w:hyperlink r:id="rId3" w:tooltip="Ссылка на КонсультантПлюс">
              <w:r>
                <w:rPr>
                  <w:rStyle w:val="Style9"/>
                  <w:b/>
                  <w:color w:val="0000FF"/>
                  <w:sz w:val="28"/>
                </w:rPr>
                <w:t>КонсультантПлюс</w:t>
              </w:r>
              <w:r>
                <w:rPr>
                  <w:rStyle w:val="Style9"/>
                  <w:b/>
                  <w:color w:val="0000FF"/>
                  <w:sz w:val="28"/>
                </w:rPr>
                <w:br/>
                <w:br/>
              </w:r>
            </w:hyperlink>
            <w:hyperlink r:id="rId4" w:tooltip="Ссылка на КонсультантПлюс">
              <w:r>
                <w:rPr>
                  <w:rStyle w:val="Style9"/>
                  <w:b/>
                  <w:color w:val="0000FF"/>
                  <w:sz w:val="28"/>
                </w:rPr>
                <w:t>www.consultant.ru</w:t>
              </w:r>
            </w:hyperlink>
            <w:r>
              <w:rPr>
                <w:sz w:val="28"/>
              </w:rPr>
              <w:br/>
              <w:br/>
              <w:t>Дата сохранения: 19.03.2026</w:t>
              <w:br/>
              <w:t> </w:t>
            </w:r>
          </w:p>
        </w:tc>
      </w:tr>
    </w:tbl>
    <w:p>
      <w:pPr>
        <w:sectPr>
          <w:type w:val="nextPage"/>
          <w:pgSz w:w="11906" w:h="16838"/>
          <w:pgMar w:left="1133" w:right="566" w:gutter="0" w:header="0" w:top="1440" w:footer="0" w:bottom="1440"/>
          <w:pgNumType w:fmt="decimal"/>
          <w:formProt w:val="false"/>
          <w:textDirection w:val="lrTb"/>
          <w:docGrid w:type="default" w:linePitch="100" w:charSpace="4294959103"/>
        </w:sectPr>
        <w:pStyle w:val="ConsPlusNormal"/>
        <w:bidi w:val="0"/>
        <w:jc w:val="start"/>
        <w:rPr>
          <w:rFonts w:ascii="Tahoma" w:hAnsi="Tahoma"/>
          <w:sz w:val="28"/>
        </w:rPr>
      </w:pPr>
      <w:r>
        <w:rPr>
          <w:rFonts w:ascii="Tahoma" w:hAnsi="Tahoma"/>
          <w:sz w:val="28"/>
        </w:rPr>
      </w:r>
    </w:p>
    <w:p>
      <w:pPr>
        <w:pStyle w:val="ConsPlusTitle"/>
        <w:numPr>
          <w:ilvl w:val="0"/>
          <w:numId w:val="0"/>
        </w:numPr>
        <w:bidi w:val="0"/>
        <w:ind w:hanging="0" w:start="0"/>
        <w:jc w:val="center"/>
        <w:outlineLvl w:val="0"/>
        <w:rPr/>
      </w:pPr>
      <w:r>
        <w:rPr/>
        <w:t>ПРАВИТЕЛЬСТВО РОССИЙСКОЙ ФЕДЕРАЦИИ</w:t>
      </w:r>
    </w:p>
    <w:p>
      <w:pPr>
        <w:pStyle w:val="ConsPlusTitle"/>
        <w:bidi w:val="0"/>
        <w:ind w:hanging="0" w:start="0"/>
        <w:jc w:val="center"/>
        <w:rPr/>
      </w:pPr>
      <w:r>
        <w:rPr/>
      </w:r>
    </w:p>
    <w:p>
      <w:pPr>
        <w:pStyle w:val="ConsPlusTitle"/>
        <w:bidi w:val="0"/>
        <w:ind w:hanging="0" w:start="0"/>
        <w:jc w:val="center"/>
        <w:rPr/>
      </w:pPr>
      <w:r>
        <w:rPr/>
        <w:t>ПОСТАНОВЛЕНИЕ</w:t>
      </w:r>
    </w:p>
    <w:p>
      <w:pPr>
        <w:pStyle w:val="ConsPlusTitle"/>
        <w:bidi w:val="0"/>
        <w:ind w:hanging="0" w:start="0"/>
        <w:jc w:val="center"/>
        <w:rPr/>
      </w:pPr>
      <w:r>
        <w:rPr/>
        <w:t>от 8 декабря 2022 г. N 2253</w:t>
      </w:r>
    </w:p>
    <w:p>
      <w:pPr>
        <w:pStyle w:val="ConsPlusTitle"/>
        <w:bidi w:val="0"/>
        <w:ind w:hanging="0" w:start="0"/>
        <w:jc w:val="center"/>
        <w:rPr/>
      </w:pPr>
      <w:r>
        <w:rPr/>
      </w:r>
    </w:p>
    <w:p>
      <w:pPr>
        <w:pStyle w:val="ConsPlusTitle"/>
        <w:bidi w:val="0"/>
        <w:ind w:hanging="0" w:start="0"/>
        <w:jc w:val="center"/>
        <w:rPr/>
      </w:pPr>
      <w:r>
        <w:rPr/>
        <w:t>ОБ УТВЕРЖДЕНИИ ПРАВИЛ</w:t>
      </w:r>
    </w:p>
    <w:p>
      <w:pPr>
        <w:pStyle w:val="ConsPlusTitle"/>
        <w:bidi w:val="0"/>
        <w:ind w:hanging="0" w:start="0"/>
        <w:jc w:val="center"/>
        <w:rPr/>
      </w:pPr>
      <w:r>
        <w:rPr/>
        <w:t>ПРЕДОСТАВЛЕНИЯ ПУБЛИЧНО-ПРАВОВОЙ КОМПАНИЕЙ "ФОНД</w:t>
      </w:r>
    </w:p>
    <w:p>
      <w:pPr>
        <w:pStyle w:val="ConsPlusTitle"/>
        <w:bidi w:val="0"/>
        <w:ind w:hanging="0" w:start="0"/>
        <w:jc w:val="center"/>
        <w:rPr/>
      </w:pPr>
      <w:r>
        <w:rPr/>
        <w:t>РАЗВИТИЯ ТЕРРИТОРИЙ" ФИНАНСОВОЙ ПОДДЕРЖКИ БЮДЖЕТАМ СУБЪЕКТОВ</w:t>
      </w:r>
    </w:p>
    <w:p>
      <w:pPr>
        <w:pStyle w:val="ConsPlusTitle"/>
        <w:bidi w:val="0"/>
        <w:ind w:hanging="0" w:start="0"/>
        <w:jc w:val="center"/>
        <w:rPr/>
      </w:pPr>
      <w:r>
        <w:rPr/>
        <w:t>РОССИЙСКОЙ ФЕДЕРАЦИИ ЗА СЧЕТ СРЕДСТВ ПУБЛИЧНО-ПРАВОВОЙ</w:t>
      </w:r>
    </w:p>
    <w:p>
      <w:pPr>
        <w:pStyle w:val="ConsPlusTitle"/>
        <w:bidi w:val="0"/>
        <w:ind w:hanging="0" w:start="0"/>
        <w:jc w:val="center"/>
        <w:rPr/>
      </w:pPr>
      <w:r>
        <w:rPr/>
        <w:t>КОМПАНИИ "ФОНД РАЗВИТИЯ ТЕРРИТОРИЙ" НА МОДЕРНИЗАЦИЮ СИСТЕМ</w:t>
      </w:r>
    </w:p>
    <w:p>
      <w:pPr>
        <w:pStyle w:val="ConsPlusTitle"/>
        <w:bidi w:val="0"/>
        <w:ind w:hanging="0" w:start="0"/>
        <w:jc w:val="center"/>
        <w:rPr/>
      </w:pPr>
      <w:r>
        <w:rPr/>
        <w:t>КОММУНАЛЬНОЙ ИНФРАСТРУКТУРЫ НА 2023 - 2027 ГОДЫ И О ВНЕСЕНИИ</w:t>
      </w:r>
    </w:p>
    <w:p>
      <w:pPr>
        <w:pStyle w:val="ConsPlusTitle"/>
        <w:bidi w:val="0"/>
        <w:ind w:hanging="0" w:start="0"/>
        <w:jc w:val="center"/>
        <w:rPr/>
      </w:pPr>
      <w:r>
        <w:rPr/>
        <w:t>ИЗМЕНЕНИЙ В ПОЛОЖЕНИЕ О ПРАВИТЕЛЬСТВЕННОЙ КОМИССИИ</w:t>
      </w:r>
    </w:p>
    <w:p>
      <w:pPr>
        <w:pStyle w:val="ConsPlusTitle"/>
        <w:bidi w:val="0"/>
        <w:ind w:hanging="0" w:start="0"/>
        <w:jc w:val="center"/>
        <w:rPr/>
      </w:pPr>
      <w:r>
        <w:rPr/>
        <w:t>ПО РЕГИОНАЛЬНОМУ РАЗВИТИЮ В РОССИЙСКОЙ ФЕДЕРАЦИИ</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center"/>
              <w:rPr>
                <w:color w:val="392C69"/>
              </w:rPr>
            </w:pPr>
            <w:r>
              <w:rPr>
                <w:color w:val="392C69"/>
              </w:rPr>
              <w:t>Список изменяющих документов</w:t>
            </w:r>
          </w:p>
          <w:p>
            <w:pPr>
              <w:pStyle w:val="ConsPlusNormal"/>
              <w:tabs>
                <w:tab w:val="clear" w:pos="720"/>
              </w:tabs>
              <w:bidi w:val="0"/>
              <w:ind w:hanging="0" w:start="0"/>
              <w:jc w:val="center"/>
              <w:rPr>
                <w:color w:val="392C69"/>
              </w:rPr>
            </w:pPr>
            <w:r>
              <w:rPr>
                <w:color w:val="392C69"/>
              </w:rPr>
              <w:t>(в ред. Постановлений Правительства РФ от 20.09.2023 N 1529,</w:t>
            </w:r>
          </w:p>
          <w:p>
            <w:pPr>
              <w:pStyle w:val="ConsPlusNormal"/>
              <w:tabs>
                <w:tab w:val="clear" w:pos="720"/>
              </w:tabs>
              <w:bidi w:val="0"/>
              <w:ind w:hanging="0" w:start="0"/>
              <w:jc w:val="center"/>
              <w:rPr/>
            </w:pPr>
            <w:r>
              <w:rPr>
                <w:color w:val="392C69"/>
              </w:rPr>
              <w:t>от 20.01.2024 N 30, от 03.07.2025 N 1000)</w:t>
            </w:r>
          </w:p>
        </w:tc>
        <w:tc>
          <w:tcPr>
            <w:tcW w:w="113" w:type="dxa"/>
            <w:tcBorders/>
            <w:shd w:color="auto" w:fill="F4F3F8"/>
          </w:tcPr>
          <w:p>
            <w:pPr>
              <w:pStyle w:val="ConsPlusNormal"/>
              <w:tabs>
                <w:tab w:val="clear" w:pos="720"/>
              </w:tabs>
              <w:bidi w:val="0"/>
              <w:ind w:hanging="0" w:start="0"/>
              <w:jc w:val="center"/>
              <w:rPr>
                <w:color w:val="392C69"/>
              </w:rPr>
            </w:pPr>
            <w:r>
              <w:rPr>
                <w:color w:val="392C69"/>
              </w:rPr>
            </w:r>
          </w:p>
        </w:tc>
      </w:tr>
    </w:tbl>
    <w:p>
      <w:pPr>
        <w:pStyle w:val="ConsPlusNormal"/>
        <w:bidi w:val="0"/>
        <w:ind w:firstLine="540" w:start="0"/>
        <w:jc w:val="both"/>
        <w:rPr/>
      </w:pPr>
      <w:r>
        <w:rPr/>
      </w:r>
    </w:p>
    <w:p>
      <w:pPr>
        <w:pStyle w:val="ConsPlusNormal"/>
        <w:bidi w:val="0"/>
        <w:ind w:firstLine="540" w:start="0"/>
        <w:jc w:val="both"/>
        <w:rPr/>
      </w:pPr>
      <w:r>
        <w:rPr/>
        <w:t>В соответствии со статьей 16.1 Федерального закона "О Фонде содействия реформированию жилищно-коммунального хозяйства" Правительство Российской Федерации постановляет:</w:t>
      </w:r>
    </w:p>
    <w:p>
      <w:pPr>
        <w:pStyle w:val="ConsPlusNormal"/>
        <w:bidi w:val="0"/>
        <w:spacing w:before="240" w:after="0"/>
        <w:ind w:firstLine="540" w:start="0"/>
        <w:jc w:val="both"/>
        <w:rPr/>
      </w:pPr>
      <w:r>
        <w:rPr/>
        <w:t>1. Утвердить прилагаемые:</w:t>
      </w:r>
    </w:p>
    <w:p>
      <w:pPr>
        <w:pStyle w:val="ConsPlusNormal"/>
        <w:bidi w:val="0"/>
        <w:spacing w:before="240" w:after="0"/>
        <w:ind w:firstLine="540" w:start="0"/>
        <w:jc w:val="both"/>
        <w:rPr/>
      </w:pPr>
      <w:hyperlink w:anchor="Par43" w:tooltip="ПРАВИЛА">
        <w:r>
          <w:rPr>
            <w:rStyle w:val="Style9"/>
            <w:color w:val="0000FF"/>
          </w:rPr>
          <w:t>Правила</w:t>
        </w:r>
      </w:hyperlink>
      <w:r>
        <w:rPr/>
        <w:t xml:space="preserve"> предоставления публично-правовой компанией "Фонд развития территорий" финансовой поддержки бюджетам субъектов Российской Федерации за счет средств публично-правовой компании "Фонд развития территорий" на модернизацию систем коммунальной инфраструктуры на 2023 - 2027 годы;</w:t>
      </w:r>
    </w:p>
    <w:p>
      <w:pPr>
        <w:pStyle w:val="ConsPlusNormal"/>
        <w:bidi w:val="0"/>
        <w:spacing w:before="240" w:after="0"/>
        <w:ind w:firstLine="540" w:start="0"/>
        <w:jc w:val="both"/>
        <w:rPr/>
      </w:pPr>
      <w:hyperlink w:anchor="Par151" w:tooltip="ИЗМЕНЕНИЯ,">
        <w:r>
          <w:rPr>
            <w:rStyle w:val="Style9"/>
            <w:color w:val="0000FF"/>
          </w:rPr>
          <w:t>изменения</w:t>
        </w:r>
      </w:hyperlink>
      <w:r>
        <w:rPr/>
        <w:t>, которые вносятся Положение о Правительственной комиссии по региональному развитию в Российской Федерации, утвержденное постановлением Правительства Российской Федерации от 21 мая 2016 г. N 451 "О Правительственной комиссии по региональному развитию в Российской Федерации" (Собрание законодательства Российской Федерации, 2016, N 22, ст. 3227; 2020, N 9, ст. 1199; 2021, N 28, ст. 5534; N 31, ст. 5901; 2022, N 7, ст. 957).</w:t>
      </w:r>
    </w:p>
    <w:p>
      <w:pPr>
        <w:pStyle w:val="ConsPlusNormal"/>
        <w:bidi w:val="0"/>
        <w:spacing w:before="240" w:after="0"/>
        <w:ind w:firstLine="540" w:start="0"/>
        <w:jc w:val="both"/>
        <w:rPr/>
      </w:pPr>
      <w:r>
        <w:rPr/>
        <w:t>2. Установить, что в 2023 - 2027 годах получение согласия антимонопольного органа для изменения условий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(далее - концессионное соглашение), в случаях, предусмотренных статьей 43 Федерального закона "О концессионных соглашениях", осуществляется в порядке и на условиях, которые установлены Правилами предоставления антимонопольным органом согласия на изменение условий концессионного соглашения, утвержденными постановлением Правительства Российской Федерации от 24 апреля 2014 г. N 368 "Об утверждении Правил предоставления антимонопольным органом согласия на изменение условий концессионного соглашения" (далее - Правила предоставления согласия), с учетом следующих особенностей:</w:t>
      </w:r>
    </w:p>
    <w:p>
      <w:pPr>
        <w:pStyle w:val="ConsPlusNormal"/>
        <w:bidi w:val="0"/>
        <w:spacing w:before="240" w:after="0"/>
        <w:ind w:firstLine="540" w:start="0"/>
        <w:jc w:val="both"/>
        <w:rPr/>
      </w:pPr>
      <w:bookmarkStart w:id="0" w:name="Par23"/>
      <w:bookmarkEnd w:id="0"/>
      <w:r>
        <w:rPr/>
        <w:t xml:space="preserve">основанием, по которому могут быть изменены существенные условия концессионного соглашения, является утверждение нормативным правовым актом высшего исполнительного органа субъекта Российской Федерации региональной программы по модернизации систем коммунальной инфраструктуры, источником финансового обеспечения которой являются средства финансовой поддержки, предоставляемые в соответствии с </w:t>
      </w:r>
      <w:hyperlink w:anchor="Par43" w:tooltip="ПРАВИЛА">
        <w:r>
          <w:rPr>
            <w:rStyle w:val="Style9"/>
            <w:color w:val="0000FF"/>
          </w:rPr>
          <w:t>Правилами</w:t>
        </w:r>
      </w:hyperlink>
      <w:r>
        <w:rPr/>
        <w:t xml:space="preserve">, утвержденными настоящим постановлением, и в которую включены мероприятия в отношении объектов коммунальной инфраструктуры, предусмотренные </w:t>
      </w:r>
      <w:hyperlink w:anchor="Par62" w:tooltip="6. Финансовое обеспечение реализации мероприятий региональной программы в отношении указанных в пункте 5 настоящих Правил объектов коммунальной инфраструктуры, предусмотренное за счет платы концедента, внесение которой осуществляется с использованием средств финансовой поддержки, не может превышать 50 процентов стоимости реализации мероприятий региональной программы.">
        <w:r>
          <w:rPr>
            <w:rStyle w:val="Style9"/>
            <w:color w:val="0000FF"/>
          </w:rPr>
          <w:t>пунктом 6</w:t>
        </w:r>
      </w:hyperlink>
      <w:r>
        <w:rPr/>
        <w:t xml:space="preserve"> Правил, утвержденных настоящим постановлением;</w:t>
      </w:r>
    </w:p>
    <w:p>
      <w:pPr>
        <w:pStyle w:val="ConsPlusNormal"/>
        <w:bidi w:val="0"/>
        <w:spacing w:before="240" w:after="0"/>
        <w:ind w:firstLine="540" w:start="0"/>
        <w:jc w:val="both"/>
        <w:rPr/>
      </w:pPr>
      <w:r>
        <w:rPr/>
        <w:t>антимонопольный орган отказывает в согласовании изменений условий концессионного соглашения при установлении одного из следующих случаев:</w:t>
      </w:r>
    </w:p>
    <w:p>
      <w:pPr>
        <w:pStyle w:val="ConsPlusNormal"/>
        <w:bidi w:val="0"/>
        <w:spacing w:before="240" w:after="0"/>
        <w:ind w:firstLine="540" w:start="0"/>
        <w:jc w:val="both"/>
        <w:rPr/>
      </w:pPr>
      <w:r>
        <w:rPr/>
        <w:t>случай, указанный в подпунктах "в" - "д", "ж" или "з" пункта 14 Правил предоставления согласия;</w:t>
      </w:r>
    </w:p>
    <w:p>
      <w:pPr>
        <w:pStyle w:val="ConsPlusNormal"/>
        <w:bidi w:val="0"/>
        <w:spacing w:before="240" w:after="0"/>
        <w:ind w:firstLine="540" w:start="0"/>
        <w:jc w:val="both"/>
        <w:rPr/>
      </w:pPr>
      <w:r>
        <w:rPr/>
        <w:t xml:space="preserve">если представленные документы не подтверждают возникновение оснований, указанных в пункте 2 Правил предоставления согласия и </w:t>
      </w:r>
      <w:hyperlink w:anchor="Par23" w:tooltip="основанием, по которому могут быть изменены существенные условия концессионного соглашения, является утверждение нормативным правовым актом высшего исполнительного органа субъекта Российской Федерации региональной программы по модернизации систем коммунальной инфраструктуры, источником финансового обеспечения которой являются средства финансовой поддержки, предоставляемые в соответствии с Правилами, утвержденными настоящим постановлением, и в которую включены мероприятия в отношении объектов коммунальной...">
        <w:r>
          <w:rPr>
            <w:rStyle w:val="Style9"/>
            <w:color w:val="0000FF"/>
          </w:rPr>
          <w:t>абзаце втором</w:t>
        </w:r>
      </w:hyperlink>
      <w:r>
        <w:rPr/>
        <w:t xml:space="preserve"> настоящего пункта, при этом подпункт "б" пункта 14 Правил предоставления согласия не применяется;</w:t>
      </w:r>
    </w:p>
    <w:p>
      <w:pPr>
        <w:pStyle w:val="ConsPlusNormal"/>
        <w:bidi w:val="0"/>
        <w:spacing w:before="240" w:after="0"/>
        <w:ind w:firstLine="540" w:start="0"/>
        <w:jc w:val="both"/>
        <w:rPr/>
      </w:pPr>
      <w:r>
        <w:rPr/>
        <w:t xml:space="preserve">если предлагаемые изменения не связаны с наличием оснований, указанных в пункте 2 Правил предоставления согласия и </w:t>
      </w:r>
      <w:hyperlink w:anchor="Par23" w:tooltip="основанием, по которому могут быть изменены существенные условия концессионного соглашения, является утверждение нормативным правовым актом высшего исполнительного органа субъекта Российской Федерации региональной программы по модернизации систем коммунальной инфраструктуры, источником финансового обеспечения которой являются средства финансовой поддержки, предоставляемые в соответствии с Правилами, утвержденными настоящим постановлением, и в которую включены мероприятия в отношении объектов коммунальной...">
        <w:r>
          <w:rPr>
            <w:rStyle w:val="Style9"/>
            <w:color w:val="0000FF"/>
          </w:rPr>
          <w:t>абзаце втором</w:t>
        </w:r>
      </w:hyperlink>
      <w:r>
        <w:rPr/>
        <w:t xml:space="preserve"> настоящего пункта, при этом подпункт "е" пункта 14 Правил предоставления согласия не применяется.</w:t>
      </w:r>
    </w:p>
    <w:p>
      <w:pPr>
        <w:pStyle w:val="ConsPlusNormal"/>
        <w:bidi w:val="0"/>
        <w:spacing w:before="240" w:after="0"/>
        <w:ind w:firstLine="540" w:start="0"/>
        <w:jc w:val="both"/>
        <w:rPr/>
      </w:pPr>
      <w:r>
        <w:rPr/>
        <w:t>3. Настоящее постановление применяется с учетом положений части 16 статьи 23 Федерального закона "О внесении изменений в Федеральный закон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и отдельные законодательные акты Российской Федерации".</w:t>
      </w:r>
    </w:p>
    <w:p>
      <w:pPr>
        <w:pStyle w:val="ConsPlusNormal"/>
        <w:bidi w:val="0"/>
        <w:ind w:firstLine="540" w:start="0"/>
        <w:jc w:val="both"/>
        <w:rPr/>
      </w:pPr>
      <w:r>
        <w:rPr/>
      </w:r>
    </w:p>
    <w:p>
      <w:pPr>
        <w:pStyle w:val="ConsPlusNormal"/>
        <w:bidi w:val="0"/>
        <w:ind w:hanging="0" w:start="0"/>
        <w:jc w:val="end"/>
        <w:rPr/>
      </w:pPr>
      <w:r>
        <w:rPr/>
        <w:t>Председатель Правительства</w:t>
      </w:r>
    </w:p>
    <w:p>
      <w:pPr>
        <w:pStyle w:val="ConsPlusNormal"/>
        <w:bidi w:val="0"/>
        <w:ind w:hanging="0" w:start="0"/>
        <w:jc w:val="end"/>
        <w:rPr/>
      </w:pPr>
      <w:r>
        <w:rPr/>
        <w:t>Российской Федерации</w:t>
      </w:r>
    </w:p>
    <w:p>
      <w:pPr>
        <w:pStyle w:val="ConsPlusNormal"/>
        <w:bidi w:val="0"/>
        <w:ind w:hanging="0" w:start="0"/>
        <w:jc w:val="end"/>
        <w:rPr/>
      </w:pPr>
      <w:r>
        <w:rPr/>
        <w:t>М.МИШУСТИН</w:t>
      </w:r>
    </w:p>
    <w:p>
      <w:pPr>
        <w:pStyle w:val="ConsPlusNormal"/>
        <w:bidi w:val="0"/>
        <w:ind w:hanging="0" w:start="0"/>
        <w:jc w:val="end"/>
        <w:rPr/>
      </w:pPr>
      <w:r>
        <w:rPr/>
      </w:r>
    </w:p>
    <w:p>
      <w:pPr>
        <w:pStyle w:val="ConsPlusNormal"/>
        <w:bidi w:val="0"/>
        <w:ind w:hanging="0" w:start="0"/>
        <w:jc w:val="end"/>
        <w:rPr/>
      </w:pPr>
      <w:r>
        <w:rPr/>
      </w:r>
    </w:p>
    <w:p>
      <w:pPr>
        <w:pStyle w:val="ConsPlusNormal"/>
        <w:bidi w:val="0"/>
        <w:ind w:hanging="0" w:start="0"/>
        <w:jc w:val="end"/>
        <w:rPr/>
      </w:pPr>
      <w:r>
        <w:rPr/>
      </w:r>
    </w:p>
    <w:p>
      <w:pPr>
        <w:pStyle w:val="ConsPlusNormal"/>
        <w:bidi w:val="0"/>
        <w:ind w:hanging="0" w:start="0"/>
        <w:jc w:val="end"/>
        <w:rPr/>
      </w:pPr>
      <w:r>
        <w:rPr/>
      </w:r>
    </w:p>
    <w:p>
      <w:pPr>
        <w:pStyle w:val="ConsPlusNormal"/>
        <w:bidi w:val="0"/>
        <w:ind w:hanging="0" w:start="0"/>
        <w:jc w:val="end"/>
        <w:rPr/>
      </w:pPr>
      <w:r>
        <w:rPr/>
      </w:r>
    </w:p>
    <w:p>
      <w:pPr>
        <w:pStyle w:val="ConsPlusNormal"/>
        <w:numPr>
          <w:ilvl w:val="0"/>
          <w:numId w:val="0"/>
        </w:numPr>
        <w:bidi w:val="0"/>
        <w:ind w:hanging="0" w:start="0"/>
        <w:jc w:val="end"/>
        <w:outlineLvl w:val="0"/>
        <w:rPr/>
      </w:pPr>
      <w:r>
        <w:rPr/>
        <w:t>Утверждены</w:t>
      </w:r>
    </w:p>
    <w:p>
      <w:pPr>
        <w:pStyle w:val="ConsPlusNormal"/>
        <w:bidi w:val="0"/>
        <w:ind w:hanging="0" w:start="0"/>
        <w:jc w:val="end"/>
        <w:rPr/>
      </w:pPr>
      <w:r>
        <w:rPr/>
        <w:t>постановлением Правительства</w:t>
      </w:r>
    </w:p>
    <w:p>
      <w:pPr>
        <w:pStyle w:val="ConsPlusNormal"/>
        <w:bidi w:val="0"/>
        <w:ind w:hanging="0" w:start="0"/>
        <w:jc w:val="end"/>
        <w:rPr/>
      </w:pPr>
      <w:r>
        <w:rPr/>
        <w:t>Российской Федерации</w:t>
      </w:r>
    </w:p>
    <w:p>
      <w:pPr>
        <w:pStyle w:val="ConsPlusNormal"/>
        <w:bidi w:val="0"/>
        <w:ind w:hanging="0" w:start="0"/>
        <w:jc w:val="end"/>
        <w:rPr/>
      </w:pPr>
      <w:r>
        <w:rPr/>
        <w:t>от 8 декабря 2022 г. N 2253</w:t>
      </w:r>
    </w:p>
    <w:p>
      <w:pPr>
        <w:pStyle w:val="ConsPlusNormal"/>
        <w:bidi w:val="0"/>
        <w:ind w:hanging="0" w:start="0"/>
        <w:jc w:val="center"/>
        <w:rPr/>
      </w:pPr>
      <w:r>
        <w:rPr/>
      </w:r>
    </w:p>
    <w:p>
      <w:pPr>
        <w:pStyle w:val="ConsPlusTitle"/>
        <w:bidi w:val="0"/>
        <w:ind w:hanging="0" w:start="0"/>
        <w:jc w:val="center"/>
        <w:rPr/>
      </w:pPr>
      <w:bookmarkStart w:id="1" w:name="Par43"/>
      <w:bookmarkEnd w:id="1"/>
      <w:r>
        <w:rPr/>
        <w:t>ПРАВИЛА</w:t>
      </w:r>
    </w:p>
    <w:p>
      <w:pPr>
        <w:pStyle w:val="ConsPlusTitle"/>
        <w:bidi w:val="0"/>
        <w:ind w:hanging="0" w:start="0"/>
        <w:jc w:val="center"/>
        <w:rPr/>
      </w:pPr>
      <w:r>
        <w:rPr/>
        <w:t>ПРЕДОСТАВЛЕНИЯ ПУБЛИЧНО-ПРАВОВОЙ КОМПАНИЕЙ "ФОНД РАЗВИТИЯ</w:t>
      </w:r>
    </w:p>
    <w:p>
      <w:pPr>
        <w:pStyle w:val="ConsPlusTitle"/>
        <w:bidi w:val="0"/>
        <w:ind w:hanging="0" w:start="0"/>
        <w:jc w:val="center"/>
        <w:rPr/>
      </w:pPr>
      <w:r>
        <w:rPr/>
        <w:t>ТЕРРИТОРИЙ" ФИНАНСОВОЙ ПОДДЕРЖКИ БЮДЖЕТАМ СУБЪЕКТОВ</w:t>
      </w:r>
    </w:p>
    <w:p>
      <w:pPr>
        <w:pStyle w:val="ConsPlusTitle"/>
        <w:bidi w:val="0"/>
        <w:ind w:hanging="0" w:start="0"/>
        <w:jc w:val="center"/>
        <w:rPr/>
      </w:pPr>
      <w:r>
        <w:rPr/>
        <w:t>РОССИЙСКОЙ ФЕДЕРАЦИИ ЗА СЧЕТ СРЕДСТВ ПУБЛИЧНО-ПРАВОВОЙ</w:t>
      </w:r>
    </w:p>
    <w:p>
      <w:pPr>
        <w:pStyle w:val="ConsPlusTitle"/>
        <w:bidi w:val="0"/>
        <w:ind w:hanging="0" w:start="0"/>
        <w:jc w:val="center"/>
        <w:rPr/>
      </w:pPr>
      <w:r>
        <w:rPr/>
        <w:t>КОМПАНИИ "ФОНД РАЗВИТИЯ ТЕРРИТОРИЙ" НА МОДЕРНИЗАЦИЮ СИСТЕМ</w:t>
      </w:r>
    </w:p>
    <w:p>
      <w:pPr>
        <w:pStyle w:val="ConsPlusTitle"/>
        <w:bidi w:val="0"/>
        <w:ind w:hanging="0" w:start="0"/>
        <w:jc w:val="center"/>
        <w:rPr/>
      </w:pPr>
      <w:r>
        <w:rPr/>
        <w:t>КОММУНАЛЬНОЙ ИНФРАСТРУКТУРЫ НА 2023 - 2027 ГОДЫ</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center"/>
              <w:rPr>
                <w:color w:val="392C69"/>
              </w:rPr>
            </w:pPr>
            <w:r>
              <w:rPr>
                <w:color w:val="392C69"/>
              </w:rPr>
              <w:t>Список изменяющих документов</w:t>
            </w:r>
          </w:p>
          <w:p>
            <w:pPr>
              <w:pStyle w:val="ConsPlusNormal"/>
              <w:tabs>
                <w:tab w:val="clear" w:pos="720"/>
              </w:tabs>
              <w:bidi w:val="0"/>
              <w:ind w:hanging="0" w:start="0"/>
              <w:jc w:val="center"/>
              <w:rPr/>
            </w:pPr>
            <w:r>
              <w:rPr>
                <w:color w:val="392C69"/>
              </w:rPr>
              <w:t>(в ред. Постановления Правительства РФ от 03.07.2025 N 1000)</w:t>
            </w:r>
          </w:p>
        </w:tc>
        <w:tc>
          <w:tcPr>
            <w:tcW w:w="113" w:type="dxa"/>
            <w:tcBorders/>
            <w:shd w:color="auto" w:fill="F4F3F8"/>
          </w:tcPr>
          <w:p>
            <w:pPr>
              <w:pStyle w:val="ConsPlusNormal"/>
              <w:tabs>
                <w:tab w:val="clear" w:pos="720"/>
              </w:tabs>
              <w:bidi w:val="0"/>
              <w:ind w:hanging="0" w:start="0"/>
              <w:jc w:val="center"/>
              <w:rPr>
                <w:color w:val="392C69"/>
              </w:rPr>
            </w:pPr>
            <w:r>
              <w:rPr>
                <w:color w:val="392C69"/>
              </w:rPr>
            </w:r>
          </w:p>
        </w:tc>
      </w:tr>
    </w:tbl>
    <w:p>
      <w:pPr>
        <w:pStyle w:val="ConsPlusNormal"/>
        <w:bidi w:val="0"/>
        <w:ind w:hanging="0" w:start="0"/>
        <w:jc w:val="center"/>
        <w:rPr/>
      </w:pPr>
      <w:r>
        <w:rPr/>
      </w:r>
    </w:p>
    <w:p>
      <w:pPr>
        <w:pStyle w:val="ConsPlusNormal"/>
        <w:bidi w:val="0"/>
        <w:ind w:firstLine="540" w:start="0"/>
        <w:jc w:val="both"/>
        <w:rPr/>
      </w:pPr>
      <w:r>
        <w:rPr/>
        <w:t>1. Настоящие Правила устанавливают порядок предоставления публично-правовой компанией "Фонд развития территорий" (далее - Фонд) финансовой поддержки бюджетам субъектов Российской Федерации за счет средств Фонда на модернизацию систем коммунальной инфраструктуры (далее - финансовая поддержка) на 2023 - 2027 годы.</w:t>
      </w:r>
    </w:p>
    <w:p>
      <w:pPr>
        <w:pStyle w:val="ConsPlusNormal"/>
        <w:bidi w:val="0"/>
        <w:spacing w:before="240" w:after="0"/>
        <w:ind w:firstLine="540" w:start="0"/>
        <w:jc w:val="both"/>
        <w:rPr/>
      </w:pPr>
      <w:r>
        <w:rPr/>
        <w:t>2. Понятия, используемые в настоящих Правилах, означают следующее:</w:t>
      </w:r>
    </w:p>
    <w:p>
      <w:pPr>
        <w:pStyle w:val="ConsPlusNormal"/>
        <w:bidi w:val="0"/>
        <w:spacing w:before="240" w:after="0"/>
        <w:ind w:firstLine="540" w:start="0"/>
        <w:jc w:val="both"/>
        <w:rPr/>
      </w:pPr>
      <w:r>
        <w:rPr/>
        <w:t>"региональная программа" - программа по модернизации систем коммунальной инфраструктуры, реализуемая на территории субъекта Российской Федерации, представляющая собой совокупность мероприятий по модернизации систем коммунальной инфраструктуры, в том числе отдельных объектов таких систем, и разработанная в целях повышения качества и надежности (бесперебойности) предоставления коммунальных услуг с учетом положений настоящих Правил, утверждаемая нормативным правовым актом высшего исполнительного органа субъекта Российской Федерации;</w:t>
      </w:r>
    </w:p>
    <w:p>
      <w:pPr>
        <w:pStyle w:val="ConsPlusNormal"/>
        <w:bidi w:val="0"/>
        <w:spacing w:before="240" w:after="0"/>
        <w:ind w:firstLine="540" w:start="0"/>
        <w:jc w:val="both"/>
        <w:rPr/>
      </w:pPr>
      <w:r>
        <w:rPr/>
        <w:t>"мероприятие региональной программы" - мероприятие по модернизации систем коммунальной инфраструктуры или отдельных объектов таких систем (в том числе отдельный этап строительства, реконструкции объекта коммунальной инфраструктуры, предусмотренный проектной документацией), включенное в региональную программу;</w:t>
      </w:r>
    </w:p>
    <w:p>
      <w:pPr>
        <w:pStyle w:val="ConsPlusNormal"/>
        <w:bidi w:val="0"/>
        <w:spacing w:before="240" w:after="0"/>
        <w:ind w:firstLine="540" w:start="0"/>
        <w:jc w:val="both"/>
        <w:rPr/>
      </w:pPr>
      <w:r>
        <w:rPr/>
        <w:t>"объект коммунальной инфраструктуры" - объект капитального строительства, в том числе линейный объект, который в соответствии с законодательством в сфере теплоснабжения относится к объекту теплоснабжения или в соответствии с законодательством в сфере водоснабжения и водоотведения относится к объекту централизованной системы горячего водоснабжения, холодного водоснабжения и (или) водоотведения, в том числе централизованной ливневой системы водоотведения, предназначенной для приема, транспортировки и очистки сточных вод;</w:t>
      </w:r>
    </w:p>
    <w:p>
      <w:pPr>
        <w:pStyle w:val="ConsPlusNormal"/>
        <w:bidi w:val="0"/>
        <w:spacing w:before="240" w:after="0"/>
        <w:ind w:firstLine="540" w:start="0"/>
        <w:jc w:val="both"/>
        <w:rPr/>
      </w:pPr>
      <w:r>
        <w:rPr/>
        <w:t>"модернизация объектов коммунальной инфраструктуры" - строительство и (или) реконструкция систем коммунальной инфраструктуры или отдельных объектов коммунальной инфраструктуры, направленные на улучшение их характеристик и эксплуатационных свойств, а в отношении линейного объекта - также его капитальный ремонт.</w:t>
      </w:r>
    </w:p>
    <w:p>
      <w:pPr>
        <w:pStyle w:val="ConsPlusNormal"/>
        <w:bidi w:val="0"/>
        <w:spacing w:before="240" w:after="0"/>
        <w:ind w:firstLine="540" w:start="0"/>
        <w:jc w:val="both"/>
        <w:rPr/>
      </w:pPr>
      <w:bookmarkStart w:id="2" w:name="Par58"/>
      <w:bookmarkEnd w:id="2"/>
      <w:r>
        <w:rPr/>
        <w:t>3. Финансовая поддержка используется на реализацию мероприятий региональной программы, в том числе на приобретение оборудования и материалов, оплату строительно-монтажных работ, иных работ и услуг, предусмотренных мероприятиями региональной программы.</w:t>
      </w:r>
    </w:p>
    <w:p>
      <w:pPr>
        <w:pStyle w:val="ConsPlusNormal"/>
        <w:bidi w:val="0"/>
        <w:spacing w:before="240" w:after="0"/>
        <w:ind w:firstLine="540" w:start="0"/>
        <w:jc w:val="both"/>
        <w:rPr/>
      </w:pPr>
      <w:bookmarkStart w:id="3" w:name="Par59"/>
      <w:bookmarkEnd w:id="3"/>
      <w:r>
        <w:rPr/>
        <w:t>Допускается использование финансовой поддержки на оплату работ по выполнению инженерных изысканий для подготовки проектной документации объекта коммунальной инфраструктуры, подлежащего модернизации, и подготовке такой проектной документации и на оплату услуг по проведению государственной экспертизы такой проектной документации (проверке достоверности определения сметной стоимости модернизации объекта коммунальной инфраструктуры в случае, если экспертиза проектной документации объекта коммунальной инфраструктуры не является обязательной в соответствии с законодательством о градостроительной деятельности) в случае, если финансовое обеспечение таких работ и услуг планируется осуществить в рамках реализации мероприятия региональной программы, предусматривающего подготовку проектной документации и (или) выполнение инженерных изысканий и работ по строительству, реконструкции и (или) капитальному ремонту объекта коммунальной инфраструктуры.</w:t>
      </w:r>
    </w:p>
    <w:p>
      <w:pPr>
        <w:pStyle w:val="ConsPlusNormal"/>
        <w:bidi w:val="0"/>
        <w:spacing w:before="240" w:after="0"/>
        <w:ind w:firstLine="540" w:start="0"/>
        <w:jc w:val="both"/>
        <w:rPr/>
      </w:pPr>
      <w:r>
        <w:rPr/>
        <w:t xml:space="preserve">4. Использование финансовой поддержки в целях возмещения расходов, указанных в </w:t>
      </w:r>
      <w:hyperlink w:anchor="Par58" w:tooltip="3. Финансовая поддержка используется на реализацию мероприятий региональной программы, в том числе на приобретение оборудования и материалов, оплату строительно-монтажных работ, иных работ и услуг, предусмотренных мероприятиями региональной программы.">
        <w:r>
          <w:rPr>
            <w:rStyle w:val="Style9"/>
            <w:color w:val="0000FF"/>
          </w:rPr>
          <w:t>пункте 3</w:t>
        </w:r>
      </w:hyperlink>
      <w:r>
        <w:rPr/>
        <w:t xml:space="preserve"> настоящих Правил, допускается в случае, если такие расходы понесены с 20 декабря 2022 г.</w:t>
      </w:r>
    </w:p>
    <w:p>
      <w:pPr>
        <w:pStyle w:val="ConsPlusNormal"/>
        <w:bidi w:val="0"/>
        <w:spacing w:before="240" w:after="0"/>
        <w:ind w:firstLine="540" w:start="0"/>
        <w:jc w:val="both"/>
        <w:rPr/>
      </w:pPr>
      <w:bookmarkStart w:id="4" w:name="Par61"/>
      <w:bookmarkEnd w:id="4"/>
      <w:r>
        <w:rPr/>
        <w:t>5. Допускается предоставление финансовой поддержки на реализацию мероприятий региональной программы в отношении объектов коммунальной инфраструктуры, являющихся объектами концессионного соглашения или имуществом, принадлежащим концеденту на праве собственности, образующим единое целое с объектами концессионного соглашения и (или) предназначенным для использования в целях создания условий осуществления концессионером деятельности, предусмотренной концессионным соглашением, которое предоставлено концедентом во владение и в пользование концессионера по такому концессионному соглашению, в случае если реализация мероприятий региональной программы в отношении таких объектов коммунальной инфраструктуры не относится к обязательствам концессионера и финансовое обеспечение реализации мероприятий региональной программы предусмотрено за счет платы концедента, внесение которой осуществляется с использованием средств финансовой поддержки.</w:t>
      </w:r>
    </w:p>
    <w:p>
      <w:pPr>
        <w:pStyle w:val="ConsPlusNormal"/>
        <w:bidi w:val="0"/>
        <w:spacing w:before="240" w:after="0"/>
        <w:ind w:firstLine="540" w:start="0"/>
        <w:jc w:val="both"/>
        <w:rPr/>
      </w:pPr>
      <w:bookmarkStart w:id="5" w:name="Par62"/>
      <w:bookmarkEnd w:id="5"/>
      <w:r>
        <w:rPr/>
        <w:t xml:space="preserve">6. Финансовое обеспечение реализации мероприятий региональной программы в отношении указанных в </w:t>
      </w:r>
      <w:hyperlink w:anchor="Par61" w:tooltip="5. Допускается предоставление финансовой поддержки на реализацию мероприятий региональной программы в отношении объектов коммунальной инфраструктуры, являющихся объектами концессионного соглашения или имуществом, принадлежащим концеденту на праве собственности, образующим единое целое с объектами концессионного соглашения и (или) предназначенным для использования в целях создания условий осуществления концессионером деятельности, предусмотренной концессионным соглашением, которое предоставлено концеденто...">
        <w:r>
          <w:rPr>
            <w:rStyle w:val="Style9"/>
            <w:color w:val="0000FF"/>
          </w:rPr>
          <w:t>пункте 5</w:t>
        </w:r>
      </w:hyperlink>
      <w:r>
        <w:rPr/>
        <w:t xml:space="preserve"> настоящих Правил объектов коммунальной инфраструктуры, предусмотренное за счет платы концедента, внесение которой осуществляется с использованием средств финансовой поддержки, не может превышать 50 процентов стоимости реализации мероприятий региональной программы.</w:t>
      </w:r>
    </w:p>
    <w:p>
      <w:pPr>
        <w:pStyle w:val="ConsPlusNormal"/>
        <w:bidi w:val="0"/>
        <w:spacing w:before="240" w:after="0"/>
        <w:ind w:firstLine="540" w:start="0"/>
        <w:jc w:val="both"/>
        <w:rPr/>
      </w:pPr>
      <w:bookmarkStart w:id="6" w:name="Par63"/>
      <w:bookmarkEnd w:id="6"/>
      <w:r>
        <w:rPr/>
        <w:t>7. Объем финансовой поддержки, предоставляемой бюджетам субъектов Российской Федерации на реализацию региональных программ, и его распределение по субъектам Российской Федерации и годам реализации региональных программ определяется решением президиума (штаба) Правительственной комиссии по региональному развитию в Российской Федерации (далее - президиум (штаб) Комиссии).</w:t>
      </w:r>
    </w:p>
    <w:p>
      <w:pPr>
        <w:pStyle w:val="ConsPlusNormal"/>
        <w:bidi w:val="0"/>
        <w:spacing w:before="240" w:after="0"/>
        <w:ind w:firstLine="540" w:start="0"/>
        <w:jc w:val="both"/>
        <w:rPr/>
      </w:pPr>
      <w:r>
        <w:rPr/>
        <w:t xml:space="preserve">В случаях сокращения бюджетных ассигнований, предусмотренных федеральным бюджетом на очередной финансовый год и плановый период на предоставление субсидии в виде имущественного взноса Российской Федерации в Фонд на модернизацию систем коммунальной инфраструктуры, возврата субъектом Российской Федерации средств финансовой поддержки в соответствии с </w:t>
      </w:r>
      <w:hyperlink w:anchor="Par135" w:tooltip="28. Правление Фонда принимает решение о приостановлении предоставления и возврате средств финансовой поддержки при выявлении по результатам мониторинга, предусмотренного пунктом 27 настоящих Правил, соответствующих оснований, предусмотренных договором о предоставлении финансовой поддержки.">
        <w:r>
          <w:rPr>
            <w:rStyle w:val="Style9"/>
            <w:color w:val="0000FF"/>
          </w:rPr>
          <w:t>пунктом 28</w:t>
        </w:r>
      </w:hyperlink>
      <w:r>
        <w:rPr/>
        <w:t xml:space="preserve"> или </w:t>
      </w:r>
      <w:hyperlink w:anchor="Par139" w:tooltip="32. Субъект Российской Федерации вправе осуществить возврат средств финансовой поддержки до принятия решения о возврате средств финансовой поддержки.">
        <w:r>
          <w:rPr>
            <w:rStyle w:val="Style9"/>
            <w:color w:val="0000FF"/>
          </w:rPr>
          <w:t>32</w:t>
        </w:r>
      </w:hyperlink>
      <w:r>
        <w:rPr/>
        <w:t xml:space="preserve"> настоящих Правил, а также в случаях, предусмотренных </w:t>
      </w:r>
      <w:hyperlink w:anchor="Par87" w:tooltip="15. В случае непредставления в Фонд основных параметров проекта региональной программы в сроки, указанные в абзаце первом пункта 11 настоящих Правил, и (или) доработанных основных параметров проекта региональной программы в сроки, указанные в абзаце втором пункта 12 настоящих Правил, президиум (штаб) Комиссии принимает решение о перераспределении объема финансовой поддержки на реализацию региональных программ по субъектам Российской Федерации и годам реализации региональных программ в соответствии с пунк...">
        <w:r>
          <w:rPr>
            <w:rStyle w:val="Style9"/>
            <w:color w:val="0000FF"/>
          </w:rPr>
          <w:t>пунктом 15</w:t>
        </w:r>
      </w:hyperlink>
      <w:r>
        <w:rPr/>
        <w:t xml:space="preserve"> и (или) </w:t>
      </w:r>
      <w:hyperlink w:anchor="Par114" w:tooltip="В случае неутверждения субъектом Российской Федерации региональной программы в срок, указанный в абзаце первом пункта 19 настоящих Правил, президиум (штаб) Комиссии принимает решение о перераспределении средств финансовой поддержки на реализацию региональной программы i-го субъекта Российской Федерации по субъектам Российской Федерации и годам реализации региональных программ в соответствии с пунктом 7 настоящих Правил.">
        <w:r>
          <w:rPr>
            <w:rStyle w:val="Style9"/>
            <w:color w:val="0000FF"/>
          </w:rPr>
          <w:t>абзацем третьим пункта 20</w:t>
        </w:r>
      </w:hyperlink>
      <w:r>
        <w:rPr/>
        <w:t xml:space="preserve"> настоящих Правил, изменение объема финансовой поддержки на реализацию региональных программ и (или) его перераспределение по субъектам Российской Федерации и годам реализации региональных программ определяется президиумом (штабом) Комиссии без учета положений </w:t>
      </w:r>
      <w:hyperlink w:anchor="Par88" w:tooltip="16. Совокупный объем финансового обеспечения реализации региональной программы i-го субъекта Российской Федерации (Cпрограммы) определяется по формуле:">
        <w:r>
          <w:rPr>
            <w:rStyle w:val="Style9"/>
            <w:color w:val="0000FF"/>
          </w:rPr>
          <w:t>пункта 16</w:t>
        </w:r>
      </w:hyperlink>
      <w:r>
        <w:rPr/>
        <w:t xml:space="preserve"> настоящих Правил.</w:t>
      </w:r>
    </w:p>
    <w:p>
      <w:pPr>
        <w:pStyle w:val="ConsPlusNormal"/>
        <w:bidi w:val="0"/>
        <w:spacing w:before="240" w:after="0"/>
        <w:ind w:firstLine="540" w:start="0"/>
        <w:jc w:val="both"/>
        <w:rPr/>
      </w:pPr>
      <w:bookmarkStart w:id="7" w:name="Par65"/>
      <w:bookmarkEnd w:id="7"/>
      <w:r>
        <w:rPr/>
        <w:t>8. Финансовая поддержка предоставляется при соблюдении следующих условий:</w:t>
      </w:r>
    </w:p>
    <w:p>
      <w:pPr>
        <w:pStyle w:val="ConsPlusNormal"/>
        <w:bidi w:val="0"/>
        <w:spacing w:before="240" w:after="0"/>
        <w:ind w:firstLine="540" w:start="0"/>
        <w:jc w:val="both"/>
        <w:rPr/>
      </w:pPr>
      <w:r>
        <w:rPr/>
        <w:t>а) наличие утвержденной нормативным правовым актом высшего исполнительного органа субъекта Российской Федерации региональной программы, соответствующей положениям настоящих Правил;</w:t>
      </w:r>
    </w:p>
    <w:p>
      <w:pPr>
        <w:pStyle w:val="ConsPlusNormal"/>
        <w:bidi w:val="0"/>
        <w:spacing w:before="240" w:after="0"/>
        <w:ind w:firstLine="540" w:start="0"/>
        <w:jc w:val="both"/>
        <w:rPr/>
      </w:pPr>
      <w:bookmarkStart w:id="8" w:name="Par67"/>
      <w:bookmarkEnd w:id="8"/>
      <w:r>
        <w:rPr/>
        <w:t>б) наличие обязательств субъекта Российской Федерации, на территории которого планируется реализация региональной программы:</w:t>
      </w:r>
    </w:p>
    <w:p>
      <w:pPr>
        <w:pStyle w:val="ConsPlusNormal"/>
        <w:bidi w:val="0"/>
        <w:spacing w:before="240" w:after="0"/>
        <w:ind w:firstLine="540" w:start="0"/>
        <w:jc w:val="both"/>
        <w:rPr/>
      </w:pPr>
      <w:r>
        <w:rPr/>
        <w:t>по обеспечению достижения целевых показателей региональной программы;</w:t>
      </w:r>
    </w:p>
    <w:p>
      <w:pPr>
        <w:pStyle w:val="ConsPlusNormal"/>
        <w:bidi w:val="0"/>
        <w:spacing w:before="240" w:after="0"/>
        <w:ind w:firstLine="540" w:start="0"/>
        <w:jc w:val="both"/>
        <w:rPr/>
      </w:pPr>
      <w:r>
        <w:rPr/>
        <w:t>по обеспечению включения в утвержденную схему теплоснабжения поселения, муниципального округа, городского округа и (или) схему водоснабжения и водоотведения поселения, муниципального округа, городского округа мероприятий региональной программы до окончания срока реализации таких мероприятий в случае, если мероприятия региональной программы подлежат включению в указанные схемы в соответствии с законодательством Российской Федерации;</w:t>
      </w:r>
    </w:p>
    <w:p>
      <w:pPr>
        <w:pStyle w:val="ConsPlusNormal"/>
        <w:bidi w:val="0"/>
        <w:spacing w:before="240" w:after="0"/>
        <w:ind w:firstLine="540" w:start="0"/>
        <w:jc w:val="both"/>
        <w:rPr/>
      </w:pPr>
      <w:r>
        <w:rPr/>
        <w:t>по обеспечению наличия проектной документации объекта коммунальной инфраструктуры, подлежащего модернизации, получившей положительное заключение государственной экспертизы проектной документации (заключение о достоверности определения сметной стоимости модернизации объекта коммунальной инфраструктуры в случае, если экспертиза проектной документации объекта коммунальной инфраструктуры не является обязательной в соответствии с законодательством о градостроительной деятельности).</w:t>
      </w:r>
    </w:p>
    <w:p>
      <w:pPr>
        <w:pStyle w:val="ConsPlusNormal"/>
        <w:bidi w:val="0"/>
        <w:spacing w:before="240" w:after="0"/>
        <w:ind w:firstLine="540" w:start="0"/>
        <w:jc w:val="both"/>
        <w:rPr/>
      </w:pPr>
      <w:bookmarkStart w:id="9" w:name="Par71"/>
      <w:bookmarkEnd w:id="9"/>
      <w:r>
        <w:rPr/>
        <w:t>9. Региональная программа содержит следующие основные параметры:</w:t>
      </w:r>
    </w:p>
    <w:p>
      <w:pPr>
        <w:pStyle w:val="ConsPlusNormal"/>
        <w:bidi w:val="0"/>
        <w:spacing w:before="240" w:after="0"/>
        <w:ind w:firstLine="540" w:start="0"/>
        <w:jc w:val="both"/>
        <w:rPr/>
      </w:pPr>
      <w:r>
        <w:rPr/>
        <w:t>а) перечень мероприятий региональной программы с указанием объектов коммунальной инфраструктуры, подлежащих модернизации;</w:t>
      </w:r>
    </w:p>
    <w:p>
      <w:pPr>
        <w:pStyle w:val="ConsPlusNormal"/>
        <w:bidi w:val="0"/>
        <w:spacing w:before="240" w:after="0"/>
        <w:ind w:firstLine="540" w:start="0"/>
        <w:jc w:val="both"/>
        <w:rPr/>
      </w:pPr>
      <w:r>
        <w:rPr/>
        <w:t xml:space="preserve">б) срок реализации каждого мероприятия региональной программы, который не должен составлять более 3 лет. При предоставлении финансовой поддержки для ее использования в соответствии с </w:t>
      </w:r>
      <w:hyperlink w:anchor="Par59" w:tooltip="Допускается использование финансовой поддержки на оплату работ по выполнению инженерных изысканий для подготовки проектной документации объекта коммунальной инфраструктуры, подлежащего модернизации, и подготовке такой проектной документации и на оплату услуг по проведению государственной экспертизы такой проектной документации (проверке достоверности определения сметной стоимости модернизации объекта коммунальной инфраструктуры в случае, если экспертиза проектной документации объекта коммунальной инфраст...">
        <w:r>
          <w:rPr>
            <w:rStyle w:val="Style9"/>
            <w:color w:val="0000FF"/>
          </w:rPr>
          <w:t>абзацем вторым пункта 3</w:t>
        </w:r>
      </w:hyperlink>
      <w:r>
        <w:rPr/>
        <w:t xml:space="preserve"> настоящих Правил срок реализации мероприятия региональной программы включает срок выполнения работ (оказания услуг), предусмотренных </w:t>
      </w:r>
      <w:hyperlink w:anchor="Par59" w:tooltip="Допускается использование финансовой поддержки на оплату работ по выполнению инженерных изысканий для подготовки проектной документации объекта коммунальной инфраструктуры, подлежащего модернизации, и подготовке такой проектной документации и на оплату услуг по проведению государственной экспертизы такой проектной документации (проверке достоверности определения сметной стоимости модернизации объекта коммунальной инфраструктуры в случае, если экспертиза проектной документации объекта коммунальной инфраст...">
        <w:r>
          <w:rPr>
            <w:rStyle w:val="Style9"/>
            <w:color w:val="0000FF"/>
          </w:rPr>
          <w:t>абзацем вторым пункта 3</w:t>
        </w:r>
      </w:hyperlink>
      <w:r>
        <w:rPr/>
        <w:t xml:space="preserve"> настоящих Правил;</w:t>
      </w:r>
    </w:p>
    <w:p>
      <w:pPr>
        <w:pStyle w:val="ConsPlusNormal"/>
        <w:bidi w:val="0"/>
        <w:spacing w:before="240" w:after="0"/>
        <w:ind w:firstLine="540" w:start="0"/>
        <w:jc w:val="both"/>
        <w:rPr/>
      </w:pPr>
      <w:r>
        <w:rPr/>
        <w:t xml:space="preserve">в) планируемая стоимость и источники финансового обеспечения реализации региональной программы с распределением по годам реализации, в том числе объем финансовой поддержки на реализацию региональной программы, объем средств долевого финансирования за счет средств бюджета субъекта Российской Федерации и (или) бюджета муниципального образования, находящегося на территории такого субъекта Российской Федерации (далее - долевое финансирование за счет средств бюджета субъекта Российской Федерации), с учетом определенного в соответствии с </w:t>
      </w:r>
      <w:hyperlink w:anchor="Par88" w:tooltip="16. Совокупный объем финансового обеспечения реализации региональной программы i-го субъекта Российской Федерации (Cпрограммы) определяется по формуле:">
        <w:r>
          <w:rPr>
            <w:rStyle w:val="Style9"/>
            <w:color w:val="0000FF"/>
          </w:rPr>
          <w:t>пунктом 16</w:t>
        </w:r>
      </w:hyperlink>
      <w:r>
        <w:rPr/>
        <w:t xml:space="preserve"> настоящих Правил для субъекта Российской Федерации совокупного объема финансового обеспечения реализации региональной программы, а также минимальный объем долевого финансирования региональной программы за счет средств внебюджетных источников (далее - долевое финансирование за счет средств внебюджетных источников);</w:t>
      </w:r>
    </w:p>
    <w:p>
      <w:pPr>
        <w:pStyle w:val="ConsPlusNormal"/>
        <w:bidi w:val="0"/>
        <w:spacing w:before="240" w:after="0"/>
        <w:ind w:firstLine="540" w:start="0"/>
        <w:jc w:val="both"/>
        <w:rPr/>
      </w:pPr>
      <w:r>
        <w:rPr/>
        <w:t>г) целевые показатели реализации мероприятий региональной программы с распределением по годам.</w:t>
      </w:r>
    </w:p>
    <w:p>
      <w:pPr>
        <w:pStyle w:val="ConsPlusNormal"/>
        <w:bidi w:val="0"/>
        <w:spacing w:before="240" w:after="0"/>
        <w:ind w:firstLine="540" w:start="0"/>
        <w:jc w:val="both"/>
        <w:rPr/>
      </w:pPr>
      <w:bookmarkStart w:id="10" w:name="Par76"/>
      <w:bookmarkEnd w:id="10"/>
      <w:r>
        <w:rPr/>
        <w:t>10. Методические рекомендации по подготовке региональной программы разрабатываются Фондом по согласованию с Министерством строительства и жилищно-коммунального хозяйства Российской Федерации и утверждаются президиумом (штабом) Комиссии.</w:t>
      </w:r>
    </w:p>
    <w:p>
      <w:pPr>
        <w:pStyle w:val="ConsPlusNormal"/>
        <w:bidi w:val="0"/>
        <w:spacing w:before="240" w:after="0"/>
        <w:ind w:firstLine="540" w:start="0"/>
        <w:jc w:val="both"/>
        <w:rPr/>
      </w:pPr>
      <w:bookmarkStart w:id="11" w:name="Par77"/>
      <w:bookmarkEnd w:id="11"/>
      <w:r>
        <w:rPr/>
        <w:t xml:space="preserve">11. В течение 20 рабочих дней со дня определения в соответствии с </w:t>
      </w:r>
      <w:hyperlink w:anchor="Par63" w:tooltip="7. Объем финансовой поддержки, предоставляемой бюджетам субъектов Российской Федерации на реализацию региональных программ, и его распределение по субъектам Российской Федерации и годам реализации региональных программ определяется решением президиума (штаба) Правительственной комиссии по региональному развитию в Российской Федерации (далее - президиум (штаб) Комиссии).">
        <w:r>
          <w:rPr>
            <w:rStyle w:val="Style9"/>
            <w:color w:val="0000FF"/>
          </w:rPr>
          <w:t>пунктом 7</w:t>
        </w:r>
      </w:hyperlink>
      <w:r>
        <w:rPr/>
        <w:t xml:space="preserve"> настоящих Правил президиумом (штабом) Комиссии объема финансовой поддержки и его распределения по субъектам Российской Федерации и годам реализации региональных программ в целях утверждения региональной программы субъект Российской Федерации в соответствии с методическими рекомендациями, указанными в </w:t>
      </w:r>
      <w:hyperlink w:anchor="Par76" w:tooltip="10. Методические рекомендации по подготовке региональной программы разрабатываются Фондом по согласованию с Министерством строительства и жилищно-коммунального хозяйства Российской Федерации и утверждаются президиумом (штабом) Комиссии.">
        <w:r>
          <w:rPr>
            <w:rStyle w:val="Style9"/>
            <w:color w:val="0000FF"/>
          </w:rPr>
          <w:t>пункте 10</w:t>
        </w:r>
      </w:hyperlink>
      <w:r>
        <w:rPr/>
        <w:t xml:space="preserve"> настоящих Правил, разрабатывает и представляет на согласование в Фонд основные параметры проекта региональной программы в электронном виде посредством автоматизированной информационной системы Фонда. Фонд проводит проверку основных параметров проекта региональной программы в течение 15 рабочих дней со дня их получения и принимает одно из следующих решений:</w:t>
      </w:r>
    </w:p>
    <w:p>
      <w:pPr>
        <w:pStyle w:val="ConsPlusNormal"/>
        <w:bidi w:val="0"/>
        <w:spacing w:before="240" w:after="0"/>
        <w:ind w:firstLine="540" w:start="0"/>
        <w:jc w:val="both"/>
        <w:rPr/>
      </w:pPr>
      <w:r>
        <w:rPr/>
        <w:t xml:space="preserve">о соответствии основных параметров проекта региональной программы положениям настоящих Правил - в случае соответствия проекта региональной программы положениям </w:t>
      </w:r>
      <w:hyperlink w:anchor="Par71" w:tooltip="9. Региональная программа содержит следующие основные параметры:">
        <w:r>
          <w:rPr>
            <w:rStyle w:val="Style9"/>
            <w:color w:val="0000FF"/>
          </w:rPr>
          <w:t>пункта 9</w:t>
        </w:r>
      </w:hyperlink>
      <w:r>
        <w:rPr/>
        <w:t xml:space="preserve"> настоящих Правил;</w:t>
      </w:r>
    </w:p>
    <w:p>
      <w:pPr>
        <w:pStyle w:val="ConsPlusNormal"/>
        <w:bidi w:val="0"/>
        <w:spacing w:before="240" w:after="0"/>
        <w:ind w:firstLine="540" w:start="0"/>
        <w:jc w:val="both"/>
        <w:rPr/>
      </w:pPr>
      <w:r>
        <w:rPr/>
        <w:t xml:space="preserve">о несоответствии основных параметров проекта региональной программы положениям настоящих Правил - в случае несоответствия проекта региональной программы положениям </w:t>
      </w:r>
      <w:hyperlink w:anchor="Par71" w:tooltip="9. Региональная программа содержит следующие основные параметры:">
        <w:r>
          <w:rPr>
            <w:rStyle w:val="Style9"/>
            <w:color w:val="0000FF"/>
          </w:rPr>
          <w:t>пункта 9</w:t>
        </w:r>
      </w:hyperlink>
      <w:r>
        <w:rPr/>
        <w:t xml:space="preserve"> настоящих Правил.</w:t>
      </w:r>
    </w:p>
    <w:p>
      <w:pPr>
        <w:pStyle w:val="ConsPlusNormal"/>
        <w:bidi w:val="0"/>
        <w:spacing w:before="240" w:after="0"/>
        <w:ind w:firstLine="540" w:start="0"/>
        <w:jc w:val="both"/>
        <w:rPr/>
      </w:pPr>
      <w:r>
        <w:rPr/>
        <w:t>Не позднее 5 рабочих дней после принятия Фондом решения о соответствии основных параметров проекта региональной программы положениям настоящих Правил Фонд направляет основные параметры проекта региональной программы в электронном виде в Министерство строительства и жилищно-коммунального хозяйства Российской Федерации.</w:t>
      </w:r>
    </w:p>
    <w:p>
      <w:pPr>
        <w:pStyle w:val="ConsPlusNormal"/>
        <w:bidi w:val="0"/>
        <w:spacing w:before="240" w:after="0"/>
        <w:ind w:firstLine="540" w:start="0"/>
        <w:jc w:val="both"/>
        <w:rPr/>
      </w:pPr>
      <w:bookmarkStart w:id="12" w:name="Par81"/>
      <w:bookmarkEnd w:id="12"/>
      <w:r>
        <w:rPr/>
        <w:t>12. Министерство строительства и жилищно-коммунального хозяйства Российской Федерации рассматривает представленные основные параметры проекта региональной программы и в случае отсутствия замечаний согласовывает решение Фонда о соответствии основных параметров проекта региональной программы положениям настоящих Правил и уведомляет Фонд о таком согласовании, а при наличии замечаний направляет в Фонд позицию Министерства строительства и жилищно-коммунального хозяйства Российской Федерации по основным параметрам проекта региональной программы не позднее 5 рабочих дней со дня получения от Фонда основных параметров проекта региональной программы.</w:t>
      </w:r>
    </w:p>
    <w:p>
      <w:pPr>
        <w:pStyle w:val="ConsPlusNormal"/>
        <w:bidi w:val="0"/>
        <w:spacing w:before="240" w:after="0"/>
        <w:ind w:firstLine="540" w:start="0"/>
        <w:jc w:val="both"/>
        <w:rPr/>
      </w:pPr>
      <w:bookmarkStart w:id="13" w:name="Par82"/>
      <w:bookmarkEnd w:id="13"/>
      <w:r>
        <w:rPr/>
        <w:t>Решение Фонда о несоответствии основных параметров проекта региональной программы положениям настоящих Правил и позиция Министерства строительства и жилищно-коммунального хозяйства Российской Федерации по основным параметрам проекта региональной программы, содержащая замечания, направляются Фондом в субъект Российской Федерации с целью доработки основных параметров проекта региональной программы в соответствии с замечаниями Фонда и (или) Министерства строительства и жилищно-коммунального хозяйства Российской Федерации. Срок доработки субъектом Российской Федерации основных параметров проекта региональной программы не должен превышать 7 рабочих дней.</w:t>
      </w:r>
    </w:p>
    <w:p>
      <w:pPr>
        <w:pStyle w:val="ConsPlusNormal"/>
        <w:bidi w:val="0"/>
        <w:spacing w:before="240" w:after="0"/>
        <w:ind w:firstLine="540" w:start="0"/>
        <w:jc w:val="both"/>
        <w:rPr/>
      </w:pPr>
      <w:r>
        <w:rPr/>
        <w:t>Фонд направляет в президиум (штаб) Комиссии согласованные Министерством строительства и жилищно-коммунального хозяйства Российской Федерации основные параметры проекта региональной программы с приложением решения Фонда о соответствии основных параметров проекта региональной программы положениям настоящих Правил не позднее 5 рабочих дней со дня получения уведомления Министерства строительства и жилищно-коммунального хозяйства Российской Федерации о согласовании указанного решения.</w:t>
      </w:r>
    </w:p>
    <w:p>
      <w:pPr>
        <w:pStyle w:val="ConsPlusNormal"/>
        <w:bidi w:val="0"/>
        <w:spacing w:before="240" w:after="0"/>
        <w:ind w:firstLine="540" w:start="0"/>
        <w:jc w:val="both"/>
        <w:rPr/>
      </w:pPr>
      <w:r>
        <w:rPr/>
        <w:t>Президиум (штаб) Комиссии принимает решение об одобрении основных параметров проекта региональной программы.</w:t>
      </w:r>
    </w:p>
    <w:p>
      <w:pPr>
        <w:pStyle w:val="ConsPlusNormal"/>
        <w:bidi w:val="0"/>
        <w:spacing w:before="240" w:after="0"/>
        <w:ind w:firstLine="540" w:start="0"/>
        <w:jc w:val="both"/>
        <w:rPr/>
      </w:pPr>
      <w:r>
        <w:rPr/>
        <w:t xml:space="preserve">13. В случае внесения изменений в одобренные президиумом (штабом) Комиссии основные параметры проекта региональной программы рассмотрение таких изменений (за исключением изменений, предусмотренных </w:t>
      </w:r>
      <w:hyperlink w:anchor="Par86" w:tooltip="14. Рассмотрение изменений, вносимых в одобренные президиумом (штабом) Комиссии основные параметры проекта региональной программы, не связанных с увеличением объема финансовой поддержки соответствующему субъекту Российской Федерации и (или) ухудшением значения одного или нескольких целевых показателей реализации мероприятий региональной программы в целом по региональной программе за весь период реализации, осуществляется в порядке, предусмотренном пунктом 11 и абзацами первым и вторым пункта 12 настоящих...">
        <w:r>
          <w:rPr>
            <w:rStyle w:val="Style9"/>
            <w:color w:val="0000FF"/>
          </w:rPr>
          <w:t>пунктом 14</w:t>
        </w:r>
      </w:hyperlink>
      <w:r>
        <w:rPr/>
        <w:t xml:space="preserve"> настоящих Правил) осуществляется в порядке, предусмотренном </w:t>
      </w:r>
      <w:hyperlink w:anchor="Par77" w:tooltip="11. В течение 20 рабочих дней со дня определения в соответствии с пунктом 7 настоящих Правил президиумом (штабом) Комиссии объема финансовой поддержки и его распределения по субъектам Российской Федерации и годам реализации региональных программ в целях утверждения региональной программы субъект Российской Федерации в соответствии с методическими рекомендациями, указанными в пункте 10 настоящих Правил, разрабатывает и представляет на согласование в Фонд основные параметры проекта региональной программы в...">
        <w:r>
          <w:rPr>
            <w:rStyle w:val="Style9"/>
            <w:color w:val="0000FF"/>
          </w:rPr>
          <w:t>пунктами 11</w:t>
        </w:r>
      </w:hyperlink>
      <w:r>
        <w:rPr/>
        <w:t xml:space="preserve"> и </w:t>
      </w:r>
      <w:hyperlink w:anchor="Par81" w:tooltip="12. Министерство строительства и жилищно-коммунального хозяйства Российской Федерации рассматривает представленные основные параметры проекта региональной программы и в случае отсутствия замечаний согласовывает решение Фонда о соответствии основных параметров проекта региональной программы положениям настоящих Правил и уведомляет Фонд о таком согласовании, а при наличии замечаний направляет в Фонд позицию Министерства строительства и жилищно-коммунального хозяйства Российской Федерации по основным параме...">
        <w:r>
          <w:rPr>
            <w:rStyle w:val="Style9"/>
            <w:color w:val="0000FF"/>
          </w:rPr>
          <w:t>12</w:t>
        </w:r>
      </w:hyperlink>
      <w:r>
        <w:rPr/>
        <w:t xml:space="preserve"> настоящих Правил.</w:t>
      </w:r>
    </w:p>
    <w:p>
      <w:pPr>
        <w:pStyle w:val="ConsPlusNormal"/>
        <w:bidi w:val="0"/>
        <w:spacing w:before="240" w:after="0"/>
        <w:ind w:firstLine="540" w:start="0"/>
        <w:jc w:val="both"/>
        <w:rPr/>
      </w:pPr>
      <w:bookmarkStart w:id="14" w:name="Par86"/>
      <w:bookmarkEnd w:id="14"/>
      <w:r>
        <w:rPr/>
        <w:t xml:space="preserve">14. Рассмотрение изменений, вносимых в одобренные президиумом (штабом) Комиссии основные параметры проекта региональной программы, не связанных с увеличением объема финансовой поддержки соответствующему субъекту Российской Федерации и (или) ухудшением значения одного или нескольких целевых показателей реализации мероприятий региональной программы в целом по региональной программе за весь период реализации, осуществляется в порядке, предусмотренном </w:t>
      </w:r>
      <w:hyperlink w:anchor="Par77" w:tooltip="11. В течение 20 рабочих дней со дня определения в соответствии с пунктом 7 настоящих Правил президиумом (штабом) Комиссии объема финансовой поддержки и его распределения по субъектам Российской Федерации и годам реализации региональных программ в целях утверждения региональной программы субъект Российской Федерации в соответствии с методическими рекомендациями, указанными в пункте 10 настоящих Правил, разрабатывает и представляет на согласование в Фонд основные параметры проекта региональной программы в...">
        <w:r>
          <w:rPr>
            <w:rStyle w:val="Style9"/>
            <w:color w:val="0000FF"/>
          </w:rPr>
          <w:t>пунктом 11</w:t>
        </w:r>
      </w:hyperlink>
      <w:r>
        <w:rPr/>
        <w:t xml:space="preserve"> и </w:t>
      </w:r>
      <w:hyperlink w:anchor="Par81" w:tooltip="12. Министерство строительства и жилищно-коммунального хозяйства Российской Федерации рассматривает представленные основные параметры проекта региональной программы и в случае отсутствия замечаний согласовывает решение Фонда о соответствии основных параметров проекта региональной программы положениям настоящих Правил и уведомляет Фонд о таком согласовании, а при наличии замечаний направляет в Фонд позицию Министерства строительства и жилищно-коммунального хозяйства Российской Федерации по основным параме...">
        <w:r>
          <w:rPr>
            <w:rStyle w:val="Style9"/>
            <w:color w:val="0000FF"/>
          </w:rPr>
          <w:t>абзацами первым</w:t>
        </w:r>
      </w:hyperlink>
      <w:r>
        <w:rPr/>
        <w:t xml:space="preserve"> и </w:t>
      </w:r>
      <w:hyperlink w:anchor="Par82" w:tooltip="Решение Фонда о несоответствии основных параметров проекта региональной программы положениям настоящих Правил и позиция Министерства строительства и жилищно-коммунального хозяйства Российской Федерации по основным параметрам проекта региональной программы, содержащая замечания, направляются Фондом в субъект Российской Федерации с целью доработки основных параметров проекта региональной программы в соответствии с замечаниями Фонда и (или) Министерства строительства и жилищно-коммунального хозяйства Россий...">
        <w:r>
          <w:rPr>
            <w:rStyle w:val="Style9"/>
            <w:color w:val="0000FF"/>
          </w:rPr>
          <w:t>вторым пункта 12</w:t>
        </w:r>
      </w:hyperlink>
      <w:r>
        <w:rPr/>
        <w:t xml:space="preserve"> настоящих Правил.</w:t>
      </w:r>
    </w:p>
    <w:p>
      <w:pPr>
        <w:pStyle w:val="ConsPlusNormal"/>
        <w:bidi w:val="0"/>
        <w:spacing w:before="240" w:after="0"/>
        <w:ind w:firstLine="540" w:start="0"/>
        <w:jc w:val="both"/>
        <w:rPr/>
      </w:pPr>
      <w:bookmarkStart w:id="15" w:name="Par87"/>
      <w:bookmarkEnd w:id="15"/>
      <w:r>
        <w:rPr/>
        <w:t xml:space="preserve">15. В случае непредставления в Фонд основных параметров проекта региональной программы в сроки, указанные в </w:t>
      </w:r>
      <w:hyperlink w:anchor="Par77" w:tooltip="11. В течение 20 рабочих дней со дня определения в соответствии с пунктом 7 настоящих Правил президиумом (штабом) Комиссии объема финансовой поддержки и его распределения по субъектам Российской Федерации и годам реализации региональных программ в целях утверждения региональной программы субъект Российской Федерации в соответствии с методическими рекомендациями, указанными в пункте 10 настоящих Правил, разрабатывает и представляет на согласование в Фонд основные параметры проекта региональной программы в...">
        <w:r>
          <w:rPr>
            <w:rStyle w:val="Style9"/>
            <w:color w:val="0000FF"/>
          </w:rPr>
          <w:t>абзаце первом пункта 11</w:t>
        </w:r>
      </w:hyperlink>
      <w:r>
        <w:rPr/>
        <w:t xml:space="preserve"> настоящих Правил, и (или) доработанных основных параметров проекта региональной программы в сроки, указанные в </w:t>
      </w:r>
      <w:hyperlink w:anchor="Par82" w:tooltip="Решение Фонда о несоответствии основных параметров проекта региональной программы положениям настоящих Правил и позиция Министерства строительства и жилищно-коммунального хозяйства Российской Федерации по основным параметрам проекта региональной программы, содержащая замечания, направляются Фондом в субъект Российской Федерации с целью доработки основных параметров проекта региональной программы в соответствии с замечаниями Фонда и (или) Министерства строительства и жилищно-коммунального хозяйства Россий...">
        <w:r>
          <w:rPr>
            <w:rStyle w:val="Style9"/>
            <w:color w:val="0000FF"/>
          </w:rPr>
          <w:t>абзаце втором пункта 12</w:t>
        </w:r>
      </w:hyperlink>
      <w:r>
        <w:rPr/>
        <w:t xml:space="preserve"> настоящих Правил, президиум (штаб) Комиссии принимает решение о перераспределении объема финансовой поддержки на реализацию региональных программ по субъектам Российской Федерации и годам реализации региональных программ в соответствии с </w:t>
      </w:r>
      <w:hyperlink w:anchor="Par63" w:tooltip="7. Объем финансовой поддержки, предоставляемой бюджетам субъектов Российской Федерации на реализацию региональных программ, и его распределение по субъектам Российской Федерации и годам реализации региональных программ определяется решением президиума (штаба) Правительственной комиссии по региональному развитию в Российской Федерации (далее - президиум (штаб) Комиссии).">
        <w:r>
          <w:rPr>
            <w:rStyle w:val="Style9"/>
            <w:color w:val="0000FF"/>
          </w:rPr>
          <w:t>пунктом 7</w:t>
        </w:r>
      </w:hyperlink>
      <w:r>
        <w:rPr/>
        <w:t xml:space="preserve"> настоящих Правил.</w:t>
      </w:r>
    </w:p>
    <w:p>
      <w:pPr>
        <w:pStyle w:val="ConsPlusNormal"/>
        <w:bidi w:val="0"/>
        <w:spacing w:before="240" w:after="0"/>
        <w:ind w:firstLine="540" w:start="0"/>
        <w:jc w:val="both"/>
        <w:rPr/>
      </w:pPr>
      <w:bookmarkStart w:id="16" w:name="Par88"/>
      <w:bookmarkEnd w:id="16"/>
      <w:r>
        <w:rPr/>
        <w:t>16. Совокупный объем финансового обеспечения реализации региональной программы i-го субъекта Российской Федерации (C</w:t>
      </w:r>
      <w:r>
        <w:rPr>
          <w:vertAlign w:val="subscript"/>
        </w:rPr>
        <w:t>программы</w:t>
      </w:r>
      <w:r>
        <w:rPr/>
        <w:t>) определяется по формуле:</w:t>
      </w:r>
    </w:p>
    <w:p>
      <w:pPr>
        <w:pStyle w:val="ConsPlusNormal"/>
        <w:bidi w:val="0"/>
        <w:ind w:firstLine="540" w:start="0"/>
        <w:jc w:val="both"/>
        <w:rPr/>
      </w:pPr>
      <w:r>
        <w:rPr/>
      </w:r>
    </w:p>
    <w:p>
      <w:pPr>
        <w:pStyle w:val="ConsPlusNormal"/>
        <w:bidi w:val="0"/>
        <w:ind w:hanging="0" w:start="0"/>
        <w:jc w:val="center"/>
        <w:rPr/>
      </w:pPr>
      <w:r>
        <w:rPr/>
        <w:drawing>
          <wp:inline distT="0" distB="0" distL="0" distR="0">
            <wp:extent cx="2057400" cy="308610"/>
            <wp:effectExtent l="0" t="0" r="0" b="0"/>
            <wp:docPr id="2" name="Изображение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title=""/>
                    <pic:cNvPicPr>
                      <a:picLocks noChangeAspect="1" noChangeArrowheads="1"/>
                    </pic:cNvPicPr>
                  </pic:nvPicPr>
                  <pic:blipFill>
                    <a:blip r:embed="rId5"/>
                    <a:stretch>
                      <a:fillRect/>
                    </a:stretch>
                  </pic:blipFill>
                  <pic:spPr bwMode="auto">
                    <a:xfrm>
                      <a:off x="0" y="0"/>
                      <a:ext cx="2057400" cy="308610"/>
                    </a:xfrm>
                    <a:prstGeom prst="rect">
                      <a:avLst/>
                    </a:prstGeom>
                    <a:noFill/>
                  </pic:spPr>
                </pic:pic>
              </a:graphicData>
            </a:graphic>
          </wp:inline>
        </w:drawing>
      </w:r>
    </w:p>
    <w:p>
      <w:pPr>
        <w:pStyle w:val="ConsPlusNormal"/>
        <w:bidi w:val="0"/>
        <w:ind w:firstLine="540" w:start="0"/>
        <w:jc w:val="both"/>
        <w:rPr/>
      </w:pPr>
      <w:r>
        <w:rPr/>
      </w:r>
    </w:p>
    <w:p>
      <w:pPr>
        <w:pStyle w:val="ConsPlusNormal"/>
        <w:bidi w:val="0"/>
        <w:ind w:firstLine="540" w:start="0"/>
        <w:jc w:val="both"/>
        <w:rPr/>
      </w:pPr>
      <w:r>
        <w:rPr/>
        <w:t>где:</w:t>
      </w:r>
    </w:p>
    <w:p>
      <w:pPr>
        <w:pStyle w:val="ConsPlusNormal"/>
        <w:bidi w:val="0"/>
        <w:spacing w:before="240" w:after="0"/>
        <w:ind w:firstLine="540" w:start="0"/>
        <w:jc w:val="both"/>
        <w:rPr/>
      </w:pPr>
      <w:r>
        <w:rPr/>
        <w:t>C</w:t>
      </w:r>
      <w:r>
        <w:rPr>
          <w:vertAlign w:val="superscript"/>
        </w:rPr>
        <w:t>i</w:t>
      </w:r>
      <w:r>
        <w:rPr/>
        <w:t xml:space="preserve"> - объем финансовой поддержки на реализацию региональной программы i-го субъекта Российской Федерации, который определяется решением президиума (штаба) Комиссии исходя из общей протяженности сетей коммунальной инфраструктуры в i-м субъекте Российской Федерации и статистических данных Федеральной службы государственной статистики о численности населения i-го субъекта Российской Федерации и не может быть менее 500 млн. рублей;</w:t>
      </w:r>
    </w:p>
    <w:p>
      <w:pPr>
        <w:pStyle w:val="ConsPlusNormal"/>
        <w:bidi w:val="0"/>
        <w:spacing w:before="240" w:after="0"/>
        <w:ind w:firstLine="540" w:start="0"/>
        <w:jc w:val="both"/>
        <w:rPr/>
      </w:pPr>
      <w:r>
        <w:rPr/>
        <w:drawing>
          <wp:inline distT="0" distB="0" distL="0" distR="0">
            <wp:extent cx="377190" cy="285750"/>
            <wp:effectExtent l="0" t="0" r="0" b="0"/>
            <wp:docPr id="3" name="Изображение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descr="" title=""/>
                    <pic:cNvPicPr>
                      <a:picLocks noChangeAspect="1" noChangeArrowheads="1"/>
                    </pic:cNvPicPr>
                  </pic:nvPicPr>
                  <pic:blipFill>
                    <a:blip r:embed="rId6"/>
                    <a:stretch>
                      <a:fillRect/>
                    </a:stretch>
                  </pic:blipFill>
                  <pic:spPr bwMode="auto">
                    <a:xfrm>
                      <a:off x="0" y="0"/>
                      <a:ext cx="377190" cy="285750"/>
                    </a:xfrm>
                    <a:prstGeom prst="rect">
                      <a:avLst/>
                    </a:prstGeom>
                    <a:noFill/>
                  </pic:spPr>
                </pic:pic>
              </a:graphicData>
            </a:graphic>
          </wp:inline>
        </w:drawing>
      </w:r>
      <w:r>
        <w:rPr/>
        <w:t xml:space="preserve"> </w:t>
      </w:r>
      <w:r>
        <w:rPr/>
        <w:t>- объем долевого финансирования за счет средств бюджета i-го субъекта Российской Федерации, который определяется по формуле:</w:t>
      </w:r>
    </w:p>
    <w:p>
      <w:pPr>
        <w:pStyle w:val="ConsPlusNormal"/>
        <w:bidi w:val="0"/>
        <w:ind w:firstLine="540" w:start="0"/>
        <w:jc w:val="both"/>
        <w:rPr/>
      </w:pPr>
      <w:r>
        <w:rPr/>
      </w:r>
    </w:p>
    <w:p>
      <w:pPr>
        <w:pStyle w:val="ConsPlusNormal"/>
        <w:bidi w:val="0"/>
        <w:ind w:hanging="0" w:start="0"/>
        <w:jc w:val="center"/>
        <w:rPr/>
      </w:pPr>
      <w:r>
        <w:rPr/>
        <w:drawing>
          <wp:inline distT="0" distB="0" distL="0" distR="0">
            <wp:extent cx="1737360" cy="548640"/>
            <wp:effectExtent l="0" t="0" r="0" b="0"/>
            <wp:docPr id="4" name="Изображение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4" descr="" title=""/>
                    <pic:cNvPicPr>
                      <a:picLocks noChangeAspect="1" noChangeArrowheads="1"/>
                    </pic:cNvPicPr>
                  </pic:nvPicPr>
                  <pic:blipFill>
                    <a:blip r:embed="rId7"/>
                    <a:stretch>
                      <a:fillRect/>
                    </a:stretch>
                  </pic:blipFill>
                  <pic:spPr bwMode="auto">
                    <a:xfrm>
                      <a:off x="0" y="0"/>
                      <a:ext cx="1737360" cy="548640"/>
                    </a:xfrm>
                    <a:prstGeom prst="rect">
                      <a:avLst/>
                    </a:prstGeom>
                    <a:noFill/>
                  </pic:spPr>
                </pic:pic>
              </a:graphicData>
            </a:graphic>
          </wp:inline>
        </w:drawing>
      </w:r>
    </w:p>
    <w:p>
      <w:pPr>
        <w:pStyle w:val="ConsPlusNormal"/>
        <w:bidi w:val="0"/>
        <w:ind w:firstLine="540" w:start="0"/>
        <w:jc w:val="both"/>
        <w:rPr/>
      </w:pPr>
      <w:r>
        <w:rPr/>
      </w:r>
    </w:p>
    <w:p>
      <w:pPr>
        <w:pStyle w:val="ConsPlusNormal"/>
        <w:bidi w:val="0"/>
        <w:ind w:firstLine="540" w:start="0"/>
        <w:jc w:val="both"/>
        <w:rPr/>
      </w:pPr>
      <w:r>
        <w:rPr/>
        <w:t>где K</w:t>
      </w:r>
      <w:r>
        <w:rPr>
          <w:vertAlign w:val="subscript"/>
        </w:rPr>
        <w:t>i</w:t>
      </w:r>
      <w:r>
        <w:rPr/>
        <w:t xml:space="preserve"> - предельный уровень софинансирования расходного обязательства i-го субъекта Российской Федерации из федерального бюджета на 2022 год, утвержденный Правительством Российской Федерации в соответствии с пунктом 13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pPr>
        <w:pStyle w:val="ConsPlusNormal"/>
        <w:bidi w:val="0"/>
        <w:spacing w:before="240" w:after="0"/>
        <w:ind w:firstLine="540" w:start="0"/>
        <w:jc w:val="both"/>
        <w:rPr/>
      </w:pPr>
      <w:r>
        <w:rPr/>
        <w:drawing>
          <wp:inline distT="0" distB="0" distL="0" distR="0">
            <wp:extent cx="320040" cy="285750"/>
            <wp:effectExtent l="0" t="0" r="0" b="0"/>
            <wp:docPr id="5" name="Изображение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5" descr="" title=""/>
                    <pic:cNvPicPr>
                      <a:picLocks noChangeAspect="1" noChangeArrowheads="1"/>
                    </pic:cNvPicPr>
                  </pic:nvPicPr>
                  <pic:blipFill>
                    <a:blip r:embed="rId8"/>
                    <a:stretch>
                      <a:fillRect/>
                    </a:stretch>
                  </pic:blipFill>
                  <pic:spPr bwMode="auto">
                    <a:xfrm>
                      <a:off x="0" y="0"/>
                      <a:ext cx="320040" cy="285750"/>
                    </a:xfrm>
                    <a:prstGeom prst="rect">
                      <a:avLst/>
                    </a:prstGeom>
                    <a:noFill/>
                  </pic:spPr>
                </pic:pic>
              </a:graphicData>
            </a:graphic>
          </wp:inline>
        </w:drawing>
      </w:r>
      <w:r>
        <w:rPr/>
        <w:t xml:space="preserve"> </w:t>
      </w:r>
      <w:r>
        <w:rPr/>
        <w:t>- минимальный объем долевого финансирования за счет средств внебюджетных источников, который определяется по формуле:</w:t>
      </w:r>
    </w:p>
    <w:p>
      <w:pPr>
        <w:pStyle w:val="ConsPlusNormal"/>
        <w:bidi w:val="0"/>
        <w:ind w:firstLine="540" w:start="0"/>
        <w:jc w:val="both"/>
        <w:rPr/>
      </w:pPr>
      <w:r>
        <w:rPr/>
      </w:r>
    </w:p>
    <w:p>
      <w:pPr>
        <w:pStyle w:val="ConsPlusNormal"/>
        <w:bidi w:val="0"/>
        <w:ind w:hanging="0" w:start="0"/>
        <w:jc w:val="center"/>
        <w:rPr/>
      </w:pPr>
      <w:r>
        <w:rPr/>
        <w:drawing>
          <wp:inline distT="0" distB="0" distL="0" distR="0">
            <wp:extent cx="1840230" cy="285750"/>
            <wp:effectExtent l="0" t="0" r="0" b="0"/>
            <wp:docPr id="6" name="Изображение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6" descr="" title=""/>
                    <pic:cNvPicPr>
                      <a:picLocks noChangeAspect="1" noChangeArrowheads="1"/>
                    </pic:cNvPicPr>
                  </pic:nvPicPr>
                  <pic:blipFill>
                    <a:blip r:embed="rId9"/>
                    <a:stretch>
                      <a:fillRect/>
                    </a:stretch>
                  </pic:blipFill>
                  <pic:spPr bwMode="auto">
                    <a:xfrm>
                      <a:off x="0" y="0"/>
                      <a:ext cx="1840230" cy="285750"/>
                    </a:xfrm>
                    <a:prstGeom prst="rect">
                      <a:avLst/>
                    </a:prstGeom>
                    <a:noFill/>
                  </pic:spPr>
                </pic:pic>
              </a:graphicData>
            </a:graphic>
          </wp:inline>
        </w:drawing>
      </w:r>
    </w:p>
    <w:p>
      <w:pPr>
        <w:pStyle w:val="ConsPlusNormal"/>
        <w:bidi w:val="0"/>
        <w:ind w:firstLine="540" w:start="0"/>
        <w:jc w:val="both"/>
        <w:rPr/>
      </w:pPr>
      <w:r>
        <w:rPr/>
      </w:r>
    </w:p>
    <w:p>
      <w:pPr>
        <w:pStyle w:val="ConsPlusNormal"/>
        <w:bidi w:val="0"/>
        <w:ind w:firstLine="540" w:start="0"/>
        <w:jc w:val="both"/>
        <w:rPr/>
      </w:pPr>
      <w:r>
        <w:rPr/>
        <w:t>При этом региональной программой i-го субъекта Российской Федерации может быть предусмотрено полное (за исключением случаев, если мероприятие региональной программы реализуется концессионером в рамках концессионного соглашения) или частичное замещение долевым финансированием за счет средств бюджета i-го субъекта Российской Федерации долевого финансирования за счет средств внебюджетных источников либо полное или частичное замещение долевым финансированием за счет средств внебюджетных источников долевого финансирования за счет средств бюджета i-го субъекта Российской Федерации при условии обеспечения сохранения совокупности объема долевого финансирования за счет средств бюджета i-го субъекта Российской Федерации (</w:t>
      </w:r>
      <w:r>
        <w:rPr/>
        <w:drawing>
          <wp:inline distT="0" distB="0" distL="0" distR="0">
            <wp:extent cx="377190" cy="285750"/>
            <wp:effectExtent l="0" t="0" r="0" b="0"/>
            <wp:docPr id="7" name="Изображение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7" descr="" title=""/>
                    <pic:cNvPicPr>
                      <a:picLocks noChangeAspect="1" noChangeArrowheads="1"/>
                    </pic:cNvPicPr>
                  </pic:nvPicPr>
                  <pic:blipFill>
                    <a:blip r:embed="rId10"/>
                    <a:stretch>
                      <a:fillRect/>
                    </a:stretch>
                  </pic:blipFill>
                  <pic:spPr bwMode="auto">
                    <a:xfrm>
                      <a:off x="0" y="0"/>
                      <a:ext cx="377190" cy="285750"/>
                    </a:xfrm>
                    <a:prstGeom prst="rect">
                      <a:avLst/>
                    </a:prstGeom>
                    <a:noFill/>
                  </pic:spPr>
                </pic:pic>
              </a:graphicData>
            </a:graphic>
          </wp:inline>
        </w:drawing>
      </w:r>
      <w:r>
        <w:rPr/>
        <w:t>) и минимального объема долевого финансирования за счет средств внебюджетных источников (</w:t>
      </w:r>
      <w:r>
        <w:rPr/>
        <w:drawing>
          <wp:inline distT="0" distB="0" distL="0" distR="0">
            <wp:extent cx="320040" cy="285750"/>
            <wp:effectExtent l="0" t="0" r="0" b="0"/>
            <wp:docPr id="8" name="Изображение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8" descr="" title=""/>
                    <pic:cNvPicPr>
                      <a:picLocks noChangeAspect="1" noChangeArrowheads="1"/>
                    </pic:cNvPicPr>
                  </pic:nvPicPr>
                  <pic:blipFill>
                    <a:blip r:embed="rId11"/>
                    <a:stretch>
                      <a:fillRect/>
                    </a:stretch>
                  </pic:blipFill>
                  <pic:spPr bwMode="auto">
                    <a:xfrm>
                      <a:off x="0" y="0"/>
                      <a:ext cx="320040" cy="285750"/>
                    </a:xfrm>
                    <a:prstGeom prst="rect">
                      <a:avLst/>
                    </a:prstGeom>
                    <a:noFill/>
                  </pic:spPr>
                </pic:pic>
              </a:graphicData>
            </a:graphic>
          </wp:inline>
        </w:drawing>
      </w:r>
      <w:r>
        <w:rPr/>
        <w:t>).</w:t>
      </w:r>
    </w:p>
    <w:p>
      <w:pPr>
        <w:pStyle w:val="ConsPlusNormal"/>
        <w:bidi w:val="0"/>
        <w:spacing w:before="240" w:after="0"/>
        <w:ind w:firstLine="540" w:start="0"/>
        <w:jc w:val="both"/>
        <w:rPr/>
      </w:pPr>
      <w:r>
        <w:rPr/>
        <w:t xml:space="preserve">17. Оценка соблюдения объема долевого финансирования за счет средств бюджета субъекта Российской Федерации и минимального объема долевого финансирования за счет средств внебюджетных источников, определенных в соответствии с </w:t>
      </w:r>
      <w:hyperlink w:anchor="Par88" w:tooltip="16. Совокупный объем финансового обеспечения реализации региональной программы i-го субъекта Российской Федерации (Cпрограммы) определяется по формуле:">
        <w:r>
          <w:rPr>
            <w:rStyle w:val="Style9"/>
            <w:color w:val="0000FF"/>
          </w:rPr>
          <w:t>пунктом 16</w:t>
        </w:r>
      </w:hyperlink>
      <w:r>
        <w:rPr/>
        <w:t xml:space="preserve"> настоящих Правил, проводится по итогам завершения реализации каждого мероприятия региональной программы.</w:t>
      </w:r>
    </w:p>
    <w:p>
      <w:pPr>
        <w:pStyle w:val="ConsPlusNormal"/>
        <w:bidi w:val="0"/>
        <w:spacing w:before="240" w:after="0"/>
        <w:ind w:firstLine="540" w:start="0"/>
        <w:jc w:val="both"/>
        <w:rPr/>
      </w:pPr>
      <w:r>
        <w:rPr/>
        <w:t>18. Целевыми показателями реализации мероприятий региональной программы являются в том числе:</w:t>
      </w:r>
    </w:p>
    <w:p>
      <w:pPr>
        <w:pStyle w:val="ConsPlusNormal"/>
        <w:bidi w:val="0"/>
        <w:spacing w:before="240" w:after="0"/>
        <w:ind w:firstLine="540" w:start="0"/>
        <w:jc w:val="both"/>
        <w:rPr/>
      </w:pPr>
      <w:r>
        <w:rPr/>
        <w:t>а) численность населения, для которого улучшатся качество и надежность (бесперебойность) коммунальных услуг;</w:t>
      </w:r>
    </w:p>
    <w:p>
      <w:pPr>
        <w:pStyle w:val="ConsPlusNormal"/>
        <w:bidi w:val="0"/>
        <w:spacing w:before="240" w:after="0"/>
        <w:ind w:firstLine="540" w:start="0"/>
        <w:jc w:val="both"/>
        <w:rPr/>
      </w:pPr>
      <w:r>
        <w:rPr/>
        <w:t>б) протяженность замены инженерных сетей;</w:t>
      </w:r>
    </w:p>
    <w:p>
      <w:pPr>
        <w:pStyle w:val="ConsPlusNormal"/>
        <w:bidi w:val="0"/>
        <w:spacing w:before="240" w:after="0"/>
        <w:ind w:firstLine="540" w:start="0"/>
        <w:jc w:val="both"/>
        <w:rPr/>
      </w:pPr>
      <w:r>
        <w:rPr/>
        <w:t>в) снижение аварийности коммунальной инфраструктуры.</w:t>
      </w:r>
    </w:p>
    <w:p>
      <w:pPr>
        <w:pStyle w:val="ConsPlusNormal"/>
        <w:bidi w:val="0"/>
        <w:spacing w:before="240" w:after="0"/>
        <w:ind w:firstLine="540" w:start="0"/>
        <w:jc w:val="both"/>
        <w:rPr/>
      </w:pPr>
      <w:bookmarkStart w:id="17" w:name="Par109"/>
      <w:bookmarkEnd w:id="17"/>
      <w:r>
        <w:rPr/>
        <w:t>19. Региональную программу субъект Российской Федерации утверждает в течение 20 рабочих дней со дня принятия президиумом (штабом) Комиссии решения об одобрении основных параметров проекта региональной программы.</w:t>
      </w:r>
    </w:p>
    <w:p>
      <w:pPr>
        <w:pStyle w:val="ConsPlusNormal"/>
        <w:bidi w:val="0"/>
        <w:spacing w:before="240" w:after="0"/>
        <w:ind w:firstLine="540" w:start="0"/>
        <w:jc w:val="both"/>
        <w:rPr/>
      </w:pPr>
      <w:r>
        <w:rPr/>
        <w:t>После утверждения региональной программы субъект Российской Федерации в течение 15 рабочих дней подает в Фонд заявку на предоставление финансовой поддержки (далее - заявка).</w:t>
      </w:r>
    </w:p>
    <w:p>
      <w:pPr>
        <w:pStyle w:val="ConsPlusNormal"/>
        <w:bidi w:val="0"/>
        <w:spacing w:before="240" w:after="0"/>
        <w:ind w:firstLine="540" w:start="0"/>
        <w:jc w:val="both"/>
        <w:rPr/>
      </w:pPr>
      <w:bookmarkStart w:id="18" w:name="Par111"/>
      <w:bookmarkEnd w:id="18"/>
      <w:r>
        <w:rPr/>
        <w:t xml:space="preserve">Заявка подается в Фонд высшим должностным лицом субъекта Российской Федерации, на территории которого планируется реализация региональной программы, в пределах объема финансовой поддержки на реализацию региональной программы, определенного для такого субъекта Российской Федерации в соответствии с </w:t>
      </w:r>
      <w:hyperlink w:anchor="Par63" w:tooltip="7. Объем финансовой поддержки, предоставляемой бюджетам субъектов Российской Федерации на реализацию региональных программ, и его распределение по субъектам Российской Федерации и годам реализации региональных программ определяется решением президиума (штаба) Правительственной комиссии по региональному развитию в Российской Федерации (далее - президиум (штаб) Комиссии).">
        <w:r>
          <w:rPr>
            <w:rStyle w:val="Style9"/>
            <w:color w:val="0000FF"/>
          </w:rPr>
          <w:t>пунктом 7</w:t>
        </w:r>
      </w:hyperlink>
      <w:r>
        <w:rPr/>
        <w:t xml:space="preserve"> настоящих Правил.</w:t>
      </w:r>
    </w:p>
    <w:p>
      <w:pPr>
        <w:pStyle w:val="ConsPlusNormal"/>
        <w:bidi w:val="0"/>
        <w:spacing w:before="240" w:after="0"/>
        <w:ind w:firstLine="540" w:start="0"/>
        <w:jc w:val="both"/>
        <w:rPr/>
      </w:pPr>
      <w:bookmarkStart w:id="19" w:name="Par112"/>
      <w:bookmarkEnd w:id="19"/>
      <w:r>
        <w:rPr/>
        <w:t xml:space="preserve">20. Заявка подается по форме, установленной методическими рекомендациями по подготовке заявок, утвержденными Фондом по согласованию с Министерством строительства и жилищно-коммунального хозяйства Российской Федерации. К заявке прилагаются документы, подтверждающие соблюдение условий предоставления финансовой поддержки, предусмотренных </w:t>
      </w:r>
      <w:hyperlink w:anchor="Par65" w:tooltip="8. Финансовая поддержка предоставляется при соблюдении следующих условий:">
        <w:r>
          <w:rPr>
            <w:rStyle w:val="Style9"/>
            <w:color w:val="0000FF"/>
          </w:rPr>
          <w:t>пунктом 8</w:t>
        </w:r>
      </w:hyperlink>
      <w:r>
        <w:rPr/>
        <w:t xml:space="preserve"> настоящих Правил (далее - прилагаемые документы). Перечень прилагаемых документов устанавливается указанными методическими рекомендациями.</w:t>
      </w:r>
    </w:p>
    <w:p>
      <w:pPr>
        <w:pStyle w:val="ConsPlusNormal"/>
        <w:bidi w:val="0"/>
        <w:spacing w:before="240" w:after="0"/>
        <w:ind w:firstLine="540" w:start="0"/>
        <w:jc w:val="both"/>
        <w:rPr/>
      </w:pPr>
      <w:r>
        <w:rPr/>
        <w:t xml:space="preserve">Обязательства субъекта Российской Федерации, предусмотренные </w:t>
      </w:r>
      <w:hyperlink w:anchor="Par67" w:tooltip="б) наличие обязательств субъекта Российской Федерации, на территории которого планируется реализация региональной программы:">
        <w:r>
          <w:rPr>
            <w:rStyle w:val="Style9"/>
            <w:color w:val="0000FF"/>
          </w:rPr>
          <w:t>подпунктом "б" пункта 8</w:t>
        </w:r>
      </w:hyperlink>
      <w:r>
        <w:rPr/>
        <w:t xml:space="preserve"> настоящих Правил, представляются в форме письма высшего должностного лица субъекта Российской Федерации.</w:t>
      </w:r>
    </w:p>
    <w:p>
      <w:pPr>
        <w:pStyle w:val="ConsPlusNormal"/>
        <w:bidi w:val="0"/>
        <w:spacing w:before="240" w:after="0"/>
        <w:ind w:firstLine="540" w:start="0"/>
        <w:jc w:val="both"/>
        <w:rPr/>
      </w:pPr>
      <w:bookmarkStart w:id="20" w:name="Par114"/>
      <w:bookmarkEnd w:id="20"/>
      <w:r>
        <w:rPr/>
        <w:t xml:space="preserve">В случае неутверждения субъектом Российской Федерации региональной программы в срок, указанный в </w:t>
      </w:r>
      <w:hyperlink w:anchor="Par109" w:tooltip="19. Региональную программу субъект Российской Федерации утверждает в течение 20 рабочих дней со дня принятия президиумом (штабом) Комиссии решения об одобрении основных параметров проекта региональной программы.">
        <w:r>
          <w:rPr>
            <w:rStyle w:val="Style9"/>
            <w:color w:val="0000FF"/>
          </w:rPr>
          <w:t>абзаце первом пункта 19</w:t>
        </w:r>
      </w:hyperlink>
      <w:r>
        <w:rPr/>
        <w:t xml:space="preserve"> настоящих Правил, президиум (штаб) Комиссии принимает решение о перераспределении средств финансовой поддержки на реализацию региональной программы i-го субъекта Российской Федерации по субъектам Российской Федерации и годам реализации региональных программ в соответствии с </w:t>
      </w:r>
      <w:hyperlink w:anchor="Par63" w:tooltip="7. Объем финансовой поддержки, предоставляемой бюджетам субъектов Российской Федерации на реализацию региональных программ, и его распределение по субъектам Российской Федерации и годам реализации региональных программ определяется решением президиума (штаба) Правительственной комиссии по региональному развитию в Российской Федерации (далее - президиум (штаб) Комиссии).">
        <w:r>
          <w:rPr>
            <w:rStyle w:val="Style9"/>
            <w:color w:val="0000FF"/>
          </w:rPr>
          <w:t>пунктом 7</w:t>
        </w:r>
      </w:hyperlink>
      <w:r>
        <w:rPr/>
        <w:t xml:space="preserve"> настоящих Правил.</w:t>
      </w:r>
    </w:p>
    <w:p>
      <w:pPr>
        <w:pStyle w:val="ConsPlusNormal"/>
        <w:bidi w:val="0"/>
        <w:spacing w:before="240" w:after="0"/>
        <w:ind w:firstLine="540" w:start="0"/>
        <w:jc w:val="both"/>
        <w:rPr/>
      </w:pPr>
      <w:r>
        <w:rPr/>
        <w:t>21. Фонд в течение 30 рабочих дней со дня получения заявки проводит проверку соответствия заявки и прилагаемых документов положениям настоящих Правил. В случае такого соответствия правление Фонда принимает решение о соответствии заявки положениям настоящих Правил и о предоставлении финансовой поддержки.</w:t>
      </w:r>
    </w:p>
    <w:p>
      <w:pPr>
        <w:pStyle w:val="ConsPlusNormal"/>
        <w:bidi w:val="0"/>
        <w:spacing w:before="240" w:after="0"/>
        <w:ind w:firstLine="540" w:start="0"/>
        <w:jc w:val="both"/>
        <w:rPr/>
      </w:pPr>
      <w:r>
        <w:rPr/>
        <w:t>22. Решение о несоответствии заявки положениям настоящих Правил принимается правлением Фонда в следующих случаях:</w:t>
      </w:r>
    </w:p>
    <w:p>
      <w:pPr>
        <w:pStyle w:val="ConsPlusNormal"/>
        <w:bidi w:val="0"/>
        <w:spacing w:before="240" w:after="0"/>
        <w:ind w:firstLine="540" w:start="0"/>
        <w:jc w:val="both"/>
        <w:rPr/>
      </w:pPr>
      <w:r>
        <w:rPr/>
        <w:t xml:space="preserve">непредставление прилагаемых документов или несоответствие региональной программы методическим рекомендациям, указанным в </w:t>
      </w:r>
      <w:hyperlink w:anchor="Par76" w:tooltip="10. Методические рекомендации по подготовке региональной программы разрабатываются Фондом по согласованию с Министерством строительства и жилищно-коммунального хозяйства Российской Федерации и утверждаются президиумом (штабом) Комиссии.">
        <w:r>
          <w:rPr>
            <w:rStyle w:val="Style9"/>
            <w:color w:val="0000FF"/>
          </w:rPr>
          <w:t>пункте 10</w:t>
        </w:r>
      </w:hyperlink>
      <w:r>
        <w:rPr/>
        <w:t xml:space="preserve"> настоящих Правил;</w:t>
      </w:r>
    </w:p>
    <w:p>
      <w:pPr>
        <w:pStyle w:val="ConsPlusNormal"/>
        <w:bidi w:val="0"/>
        <w:spacing w:before="240" w:after="0"/>
        <w:ind w:firstLine="540" w:start="0"/>
        <w:jc w:val="both"/>
        <w:rPr/>
      </w:pPr>
      <w:r>
        <w:rPr/>
        <w:t xml:space="preserve">подача заявки лицом, не указанным в </w:t>
      </w:r>
      <w:hyperlink w:anchor="Par111" w:tooltip="Заявка подается в Фонд высшим должностным лицом субъекта Российской Федерации, на территории которого планируется реализация региональной программы, в пределах объема финансовой поддержки на реализацию региональной программы, определенного для такого субъекта Российской Федерации в соответствии с пунктом 7 настоящих Правил.">
        <w:r>
          <w:rPr>
            <w:rStyle w:val="Style9"/>
            <w:color w:val="0000FF"/>
          </w:rPr>
          <w:t>абзаце третьем пункта 19</w:t>
        </w:r>
      </w:hyperlink>
      <w:r>
        <w:rPr/>
        <w:t xml:space="preserve"> настоящих Правил;</w:t>
      </w:r>
    </w:p>
    <w:p>
      <w:pPr>
        <w:pStyle w:val="ConsPlusNormal"/>
        <w:bidi w:val="0"/>
        <w:spacing w:before="240" w:after="0"/>
        <w:ind w:firstLine="540" w:start="0"/>
        <w:jc w:val="both"/>
        <w:rPr/>
      </w:pPr>
      <w:r>
        <w:rPr/>
        <w:t xml:space="preserve">несоответствие указанного в заявке объема финансовой поддержки объему, определенному для соответствующего субъекта Российской Федерации в соответствии с </w:t>
      </w:r>
      <w:hyperlink w:anchor="Par63" w:tooltip="7. Объем финансовой поддержки, предоставляемой бюджетам субъектов Российской Федерации на реализацию региональных программ, и его распределение по субъектам Российской Федерации и годам реализации региональных программ определяется решением президиума (штаба) Правительственной комиссии по региональному развитию в Российской Федерации (далее - президиум (штаб) Комиссии).">
        <w:r>
          <w:rPr>
            <w:rStyle w:val="Style9"/>
            <w:color w:val="0000FF"/>
          </w:rPr>
          <w:t>пунктом 7</w:t>
        </w:r>
      </w:hyperlink>
      <w:r>
        <w:rPr/>
        <w:t xml:space="preserve"> настоящих Правил;</w:t>
      </w:r>
    </w:p>
    <w:p>
      <w:pPr>
        <w:pStyle w:val="ConsPlusNormal"/>
        <w:bidi w:val="0"/>
        <w:spacing w:before="240" w:after="0"/>
        <w:ind w:firstLine="540" w:start="0"/>
        <w:jc w:val="both"/>
        <w:rPr/>
      </w:pPr>
      <w:r>
        <w:rPr/>
        <w:t xml:space="preserve">несоответствие заявки или прилагаемых документов методическим рекомендациям по подготовке заявок, указанным в </w:t>
      </w:r>
      <w:hyperlink w:anchor="Par112" w:tooltip="20. Заявка подается по форме, установленной методическими рекомендациями по подготовке заявок, утвержденными Фондом по согласованию с Министерством строительства и жилищно-коммунального хозяйства Российской Федерации. К заявке прилагаются документы, подтверждающие соблюдение условий предоставления финансовой поддержки, предусмотренных пунктом 8 настоящих Правил (далее - прилагаемые документы). Перечень прилагаемых документов устанавливается указанными методическими рекомендациями.">
        <w:r>
          <w:rPr>
            <w:rStyle w:val="Style9"/>
            <w:color w:val="0000FF"/>
          </w:rPr>
          <w:t>пункте 20</w:t>
        </w:r>
      </w:hyperlink>
      <w:r>
        <w:rPr/>
        <w:t xml:space="preserve"> настоящих Правил.</w:t>
      </w:r>
    </w:p>
    <w:p>
      <w:pPr>
        <w:pStyle w:val="ConsPlusNormal"/>
        <w:bidi w:val="0"/>
        <w:spacing w:before="240" w:after="0"/>
        <w:ind w:firstLine="540" w:start="0"/>
        <w:jc w:val="both"/>
        <w:rPr/>
      </w:pPr>
      <w:r>
        <w:rPr/>
        <w:t>23. Предоставление финансовой поддержки осуществляется на основании договора, заключенного Фондом с субъектом Российской Федерации (далее - договор о предоставлении финансовой поддержки).</w:t>
      </w:r>
    </w:p>
    <w:p>
      <w:pPr>
        <w:pStyle w:val="ConsPlusNormal"/>
        <w:bidi w:val="0"/>
        <w:spacing w:before="240" w:after="0"/>
        <w:ind w:firstLine="540" w:start="0"/>
        <w:jc w:val="both"/>
        <w:rPr/>
      </w:pPr>
      <w:r>
        <w:rPr/>
        <w:t>Договор о предоставлении финансовой поддержки содержит в том числе:</w:t>
      </w:r>
    </w:p>
    <w:p>
      <w:pPr>
        <w:pStyle w:val="ConsPlusNormal"/>
        <w:bidi w:val="0"/>
        <w:spacing w:before="240" w:after="0"/>
        <w:ind w:firstLine="540" w:start="0"/>
        <w:jc w:val="both"/>
        <w:rPr/>
      </w:pPr>
      <w:r>
        <w:rPr/>
        <w:t xml:space="preserve">определенные в соответствии с </w:t>
      </w:r>
      <w:hyperlink w:anchor="Par88" w:tooltip="16. Совокупный объем финансового обеспечения реализации региональной программы i-го субъекта Российской Федерации (Cпрограммы) определяется по формуле:">
        <w:r>
          <w:rPr>
            <w:rStyle w:val="Style9"/>
            <w:color w:val="0000FF"/>
          </w:rPr>
          <w:t>пунктом 16</w:t>
        </w:r>
      </w:hyperlink>
      <w:r>
        <w:rPr/>
        <w:t xml:space="preserve"> настоящих Правил совокупный объем финансового обеспечения реализации региональной программы, объем финансовой поддержки на реализацию региональной программы, объем долевого финансирования за счет средств бюджета субъекта Российской Федерации и минимальный объем долевого финансирования за счет средств внебюджетных источников;</w:t>
      </w:r>
    </w:p>
    <w:p>
      <w:pPr>
        <w:pStyle w:val="ConsPlusNormal"/>
        <w:bidi w:val="0"/>
        <w:spacing w:before="240" w:after="0"/>
        <w:ind w:firstLine="540" w:start="0"/>
        <w:jc w:val="both"/>
        <w:rPr/>
      </w:pPr>
      <w:r>
        <w:rPr/>
        <w:t>перечень и значения целевых показателей реализации мероприятий региональной программы с распределением по годам;</w:t>
      </w:r>
    </w:p>
    <w:p>
      <w:pPr>
        <w:pStyle w:val="ConsPlusNormal"/>
        <w:bidi w:val="0"/>
        <w:spacing w:before="240" w:after="0"/>
        <w:ind w:firstLine="540" w:start="0"/>
        <w:jc w:val="both"/>
        <w:rPr/>
      </w:pPr>
      <w:r>
        <w:rPr/>
        <w:t>обязательство субъекта Российской Федерации по достижению установленных региональной программой и указываемых в договоре о предоставлении финансовой поддержки целевых показателей реализации мероприятий региональной программы, согласованных Фондом и Министерством строительства и жилищно-коммунального хозяйства Российской Федерации и одобренных президиумом (штабом) Комиссии в составе основных параметров проекта региональной программы в соответствии с настоящими Правилами;</w:t>
      </w:r>
    </w:p>
    <w:p>
      <w:pPr>
        <w:pStyle w:val="ConsPlusNormal"/>
        <w:bidi w:val="0"/>
        <w:spacing w:before="240" w:after="0"/>
        <w:ind w:firstLine="540" w:start="0"/>
        <w:jc w:val="both"/>
        <w:rPr/>
      </w:pPr>
      <w:r>
        <w:rPr/>
        <w:t xml:space="preserve">обязательства субъекта Российской Федерации, предусмотренные </w:t>
      </w:r>
      <w:hyperlink w:anchor="Par67" w:tooltip="б) наличие обязательств субъекта Российской Федерации, на территории которого планируется реализация региональной программы:">
        <w:r>
          <w:rPr>
            <w:rStyle w:val="Style9"/>
            <w:color w:val="0000FF"/>
          </w:rPr>
          <w:t>подпунктом "б" пункта 8</w:t>
        </w:r>
      </w:hyperlink>
      <w:r>
        <w:rPr/>
        <w:t xml:space="preserve"> настоящих Правил;</w:t>
      </w:r>
    </w:p>
    <w:p>
      <w:pPr>
        <w:pStyle w:val="ConsPlusNormal"/>
        <w:bidi w:val="0"/>
        <w:spacing w:before="240" w:after="0"/>
        <w:ind w:firstLine="540" w:start="0"/>
        <w:jc w:val="both"/>
        <w:rPr/>
      </w:pPr>
      <w:r>
        <w:rPr/>
        <w:t>порядок и сроки перечисления средств финансовой поддержки;</w:t>
      </w:r>
    </w:p>
    <w:p>
      <w:pPr>
        <w:pStyle w:val="ConsPlusNormal"/>
        <w:bidi w:val="0"/>
        <w:spacing w:before="240" w:after="0"/>
        <w:ind w:firstLine="540" w:start="0"/>
        <w:jc w:val="both"/>
        <w:rPr/>
      </w:pPr>
      <w:r>
        <w:rPr/>
        <w:t>ответственность сторон договора о предоставлении финансовой поддержки за нарушение его условий, включая случаи и порядок оплаты штрафных санкций, порядок осуществления, размер и основания возврата средств финансовой поддержки, основания для приостановления предоставления финансовой поддержки.</w:t>
      </w:r>
    </w:p>
    <w:p>
      <w:pPr>
        <w:pStyle w:val="ConsPlusNormal"/>
        <w:bidi w:val="0"/>
        <w:spacing w:before="240" w:after="0"/>
        <w:ind w:firstLine="540" w:start="0"/>
        <w:jc w:val="both"/>
        <w:rPr/>
      </w:pPr>
      <w:r>
        <w:rPr/>
        <w:t>Типовые условия договора о предоставлении финансовой поддержки утверждаются Фондом по согласованию с Министерством строительства и жилищно-коммунального хозяйства Российской Федерации.</w:t>
      </w:r>
    </w:p>
    <w:p>
      <w:pPr>
        <w:pStyle w:val="ConsPlusNormal"/>
        <w:bidi w:val="0"/>
        <w:spacing w:before="240" w:after="0"/>
        <w:ind w:firstLine="540" w:start="0"/>
        <w:jc w:val="both"/>
        <w:rPr/>
      </w:pPr>
      <w:r>
        <w:rPr/>
        <w:t>24. Перечисление средств финансовой поддержки осуществляется авансом в размере не более 50 процентов объема финансовой поддержки в течение 10 рабочих дней со дня заключения договора о предоставлении финансовой поддержки. Перечисление оставшейся части объема финансовой поддержки осуществляется по мере завершения работ (оказания услуг) в составе отдельных мероприятий региональной программы, в том числе отдельных этапов мероприятий региональной программы, при этом при расчете оставшейся части объема финансовой поддержки сумма перечисленного аванса не учитывается, а часть объема финансовой поддержки, перечисленная до ввода объекта коммунальной инфраструктуры в эксплуатацию после завершения его модернизации, не может превышать 90 процентов объема финансовой поддержки.</w:t>
      </w:r>
    </w:p>
    <w:p>
      <w:pPr>
        <w:pStyle w:val="ConsPlusNormal"/>
        <w:bidi w:val="0"/>
        <w:spacing w:before="240" w:after="0"/>
        <w:ind w:firstLine="540" w:start="0"/>
        <w:jc w:val="both"/>
        <w:rPr/>
      </w:pPr>
      <w:r>
        <w:rPr/>
        <w:t>25. Допускается предоставление за счет временно свободных средств Фонда финансовой поддержки бюджету субъекта Российской Федерации сверх определенного для такого субъекта Российской Федерации объема финансовой поддержки на текущий год за счет уменьшения объема финансовой поддержки будущих лет реализации региональной программы такого субъекта Российской Федерации, но не свыше определенного президиумом (штабом) Комиссии для такого субъекта Российской Федерации объема финансовой поддержки на указанные будущие годы.</w:t>
      </w:r>
    </w:p>
    <w:p>
      <w:pPr>
        <w:pStyle w:val="ConsPlusNormal"/>
        <w:bidi w:val="0"/>
        <w:spacing w:before="240" w:after="0"/>
        <w:ind w:firstLine="540" w:start="0"/>
        <w:jc w:val="both"/>
        <w:rPr/>
      </w:pPr>
      <w:r>
        <w:rPr/>
        <w:t>Порядок расчета суммы временно свободных средств Фонда, которая может быть использована на предоставление финансовой поддержки бюджету субъекта Российской Федерации сверх установленного для этого субъекта Российской Федерации объема финансовой поддержки на текущий год, и условия ее предоставления устанавливаются Фондом по согласованию с Министерством строительства и жилищно-коммунального хозяйства Российской Федерации.</w:t>
      </w:r>
    </w:p>
    <w:p>
      <w:pPr>
        <w:pStyle w:val="ConsPlusNormal"/>
        <w:bidi w:val="0"/>
        <w:spacing w:before="240" w:after="0"/>
        <w:ind w:firstLine="540" w:start="0"/>
        <w:jc w:val="both"/>
        <w:rPr/>
      </w:pPr>
      <w:r>
        <w:rPr/>
        <w:t>26. Перечисление средств финансовой поддержки в бюджет субъекта Российской Федерации осуществляется в установленном порядке на казначейские счета для осуществления и отражения операций по учету и распределению поступлений, открытые территориальным органам Федерального казначейства.</w:t>
      </w:r>
    </w:p>
    <w:p>
      <w:pPr>
        <w:pStyle w:val="ConsPlusNormal"/>
        <w:bidi w:val="0"/>
        <w:spacing w:before="240" w:after="0"/>
        <w:ind w:firstLine="540" w:start="0"/>
        <w:jc w:val="both"/>
        <w:rPr/>
      </w:pPr>
      <w:bookmarkStart w:id="21" w:name="Par134"/>
      <w:bookmarkEnd w:id="21"/>
      <w:r>
        <w:rPr/>
        <w:t xml:space="preserve">27. Мониторинг реализации региональной программы, выполнения условий предоставления финансовой поддержки и соблюдения объема долевого финансирования за счет средств бюджета субъекта Российской Федерации и минимального объема долевого финансирования за счет средств внебюджетных источников, определенных в соответствии с </w:t>
      </w:r>
      <w:hyperlink w:anchor="Par88" w:tooltip="16. Совокупный объем финансового обеспечения реализации региональной программы i-го субъекта Российской Федерации (Cпрограммы) определяется по формуле:">
        <w:r>
          <w:rPr>
            <w:rStyle w:val="Style9"/>
            <w:color w:val="0000FF"/>
          </w:rPr>
          <w:t>пунктом 16</w:t>
        </w:r>
      </w:hyperlink>
      <w:r>
        <w:rPr/>
        <w:t xml:space="preserve"> настоящих Правил, осуществляется Фондом в порядке, установленном Фондом по согласованию с Министерством строительства и жилищно-коммунального хозяйства Российской Федерации.</w:t>
      </w:r>
    </w:p>
    <w:p>
      <w:pPr>
        <w:pStyle w:val="ConsPlusNormal"/>
        <w:bidi w:val="0"/>
        <w:spacing w:before="240" w:after="0"/>
        <w:ind w:firstLine="540" w:start="0"/>
        <w:jc w:val="both"/>
        <w:rPr/>
      </w:pPr>
      <w:bookmarkStart w:id="22" w:name="Par135"/>
      <w:bookmarkEnd w:id="22"/>
      <w:r>
        <w:rPr/>
        <w:t xml:space="preserve">28. Правление Фонда принимает решение о приостановлении предоставления и возврате средств финансовой поддержки при выявлении по результатам мониторинга, предусмотренного </w:t>
      </w:r>
      <w:hyperlink w:anchor="Par134" w:tooltip="27. Мониторинг реализации региональной программы, выполнения условий предоставления финансовой поддержки и соблюдения объема долевого финансирования за счет средств бюджета субъекта Российской Федерации и минимального объема долевого финансирования за счет средств внебюджетных источников, определенных в соответствии с пунктом 16 настоящих Правил, осуществляется Фондом в порядке, установленном Фондом по согласованию с Министерством строительства и жилищно-коммунального хозяйства Российской Федерации.">
        <w:r>
          <w:rPr>
            <w:rStyle w:val="Style9"/>
            <w:color w:val="0000FF"/>
          </w:rPr>
          <w:t>пунктом 27</w:t>
        </w:r>
      </w:hyperlink>
      <w:r>
        <w:rPr/>
        <w:t xml:space="preserve"> настоящих Правил, соответствующих оснований, предусмотренных договором о предоставлении финансовой поддержки.</w:t>
      </w:r>
    </w:p>
    <w:p>
      <w:pPr>
        <w:pStyle w:val="ConsPlusNormal"/>
        <w:bidi w:val="0"/>
        <w:spacing w:before="240" w:after="0"/>
        <w:ind w:firstLine="540" w:start="0"/>
        <w:jc w:val="both"/>
        <w:rPr/>
      </w:pPr>
      <w:r>
        <w:rPr/>
        <w:t>29. Решение правления Фонда о приостановлении предоставления финансовой поддержки в течение 5 рабочих дней со дня его принятия направляется в высший исполнительный орган субъекта Российской Федерации.</w:t>
      </w:r>
    </w:p>
    <w:p>
      <w:pPr>
        <w:pStyle w:val="ConsPlusNormal"/>
        <w:bidi w:val="0"/>
        <w:spacing w:before="240" w:after="0"/>
        <w:ind w:firstLine="540" w:start="0"/>
        <w:jc w:val="both"/>
        <w:rPr/>
      </w:pPr>
      <w:r>
        <w:rPr/>
        <w:t>30. Предоставление финансовой поддержки, решение о приостановлении предоставления которой было принято правлением Фонда, возобновляется на основании решения правления Фонда в случае устранения обстоятельств, явившихся основанием для принятия решения о приостановлении предоставления финансовой поддержки.</w:t>
      </w:r>
    </w:p>
    <w:p>
      <w:pPr>
        <w:pStyle w:val="ConsPlusNormal"/>
        <w:bidi w:val="0"/>
        <w:spacing w:before="240" w:after="0"/>
        <w:ind w:firstLine="540" w:start="0"/>
        <w:jc w:val="both"/>
        <w:rPr/>
      </w:pPr>
      <w:r>
        <w:rPr/>
        <w:t>31. Копия решения о возврате средств финансовой поддержки направляется в высший исполнительный орган субъекта Российской Федерации в течение 5 рабочих дней со дня принятия такого решения.</w:t>
      </w:r>
    </w:p>
    <w:p>
      <w:pPr>
        <w:pStyle w:val="ConsPlusNormal"/>
        <w:bidi w:val="0"/>
        <w:spacing w:before="240" w:after="0"/>
        <w:ind w:firstLine="540" w:start="0"/>
        <w:jc w:val="both"/>
        <w:rPr/>
      </w:pPr>
      <w:bookmarkStart w:id="23" w:name="Par139"/>
      <w:bookmarkEnd w:id="23"/>
      <w:r>
        <w:rPr/>
        <w:t>32. Субъект Российской Федерации вправе осуществить возврат средств финансовой поддержки до принятия решения о возврате средств финансовой поддержки.</w:t>
      </w:r>
    </w:p>
    <w:p>
      <w:pPr>
        <w:pStyle w:val="ConsPlusNormal"/>
        <w:bidi w:val="0"/>
        <w:spacing w:before="240" w:after="0"/>
        <w:ind w:firstLine="540" w:start="0"/>
        <w:jc w:val="both"/>
        <w:rPr/>
      </w:pPr>
      <w:r>
        <w:rPr/>
        <w:t xml:space="preserve">33. В случае если до принятия решения о возврате средств финансовой поддержки средства финансовой поддержки были возвращены в соответствии с </w:t>
      </w:r>
      <w:hyperlink w:anchor="Par139" w:tooltip="32. Субъект Российской Федерации вправе осуществить возврат средств финансовой поддержки до принятия решения о возврате средств финансовой поддержки.">
        <w:r>
          <w:rPr>
            <w:rStyle w:val="Style9"/>
            <w:color w:val="0000FF"/>
          </w:rPr>
          <w:t>пунктом 32</w:t>
        </w:r>
      </w:hyperlink>
      <w:r>
        <w:rPr/>
        <w:t xml:space="preserve"> настоящих Правил, Фонд направляет информацию о таком возврате в Министерство строительства и жилищно-коммунального хозяйства Российской Федерации.</w:t>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numPr>
          <w:ilvl w:val="0"/>
          <w:numId w:val="0"/>
        </w:numPr>
        <w:bidi w:val="0"/>
        <w:ind w:hanging="0" w:start="0"/>
        <w:jc w:val="end"/>
        <w:outlineLvl w:val="0"/>
        <w:rPr/>
      </w:pPr>
      <w:r>
        <w:rPr/>
        <w:t>Утверждены</w:t>
      </w:r>
    </w:p>
    <w:p>
      <w:pPr>
        <w:pStyle w:val="ConsPlusNormal"/>
        <w:bidi w:val="0"/>
        <w:ind w:hanging="0" w:start="0"/>
        <w:jc w:val="end"/>
        <w:rPr/>
      </w:pPr>
      <w:r>
        <w:rPr/>
        <w:t>постановлением Правительства</w:t>
      </w:r>
    </w:p>
    <w:p>
      <w:pPr>
        <w:pStyle w:val="ConsPlusNormal"/>
        <w:bidi w:val="0"/>
        <w:ind w:hanging="0" w:start="0"/>
        <w:jc w:val="end"/>
        <w:rPr/>
      </w:pPr>
      <w:r>
        <w:rPr/>
        <w:t>Российской Федерации</w:t>
      </w:r>
    </w:p>
    <w:p>
      <w:pPr>
        <w:pStyle w:val="ConsPlusNormal"/>
        <w:bidi w:val="0"/>
        <w:ind w:hanging="0" w:start="0"/>
        <w:jc w:val="end"/>
        <w:rPr/>
      </w:pPr>
      <w:r>
        <w:rPr/>
        <w:t>от 8 декабря 2022 г. N 2253</w:t>
      </w:r>
    </w:p>
    <w:p>
      <w:pPr>
        <w:pStyle w:val="ConsPlusNormal"/>
        <w:bidi w:val="0"/>
        <w:ind w:hanging="0" w:start="0"/>
        <w:jc w:val="center"/>
        <w:rPr/>
      </w:pPr>
      <w:r>
        <w:rPr/>
      </w:r>
    </w:p>
    <w:p>
      <w:pPr>
        <w:pStyle w:val="ConsPlusTitle"/>
        <w:bidi w:val="0"/>
        <w:ind w:hanging="0" w:start="0"/>
        <w:jc w:val="center"/>
        <w:rPr/>
      </w:pPr>
      <w:bookmarkStart w:id="24" w:name="Par151"/>
      <w:bookmarkEnd w:id="24"/>
      <w:r>
        <w:rPr/>
        <w:t>ИЗМЕНЕНИЯ,</w:t>
      </w:r>
    </w:p>
    <w:p>
      <w:pPr>
        <w:pStyle w:val="ConsPlusTitle"/>
        <w:bidi w:val="0"/>
        <w:ind w:hanging="0" w:start="0"/>
        <w:jc w:val="center"/>
        <w:rPr/>
      </w:pPr>
      <w:r>
        <w:rPr/>
        <w:t>КОТОРЫЕ ВНОСЯТСЯ В ПОЛОЖЕНИЕ О ПРАВИТЕЛЬСТВЕННОЙ КОМИССИИ</w:t>
      </w:r>
    </w:p>
    <w:p>
      <w:pPr>
        <w:pStyle w:val="ConsPlusTitle"/>
        <w:bidi w:val="0"/>
        <w:ind w:hanging="0" w:start="0"/>
        <w:jc w:val="center"/>
        <w:rPr/>
      </w:pPr>
      <w:r>
        <w:rPr/>
        <w:t>ПО РЕГИОНАЛЬНОМУ РАЗВИТИЮ В РОССИЙСКОЙ ФЕДЕРАЦИИ</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center"/>
              <w:rPr>
                <w:color w:val="392C69"/>
              </w:rPr>
            </w:pPr>
            <w:r>
              <w:rPr>
                <w:color w:val="392C69"/>
              </w:rPr>
              <w:t>Список изменяющих документов</w:t>
            </w:r>
          </w:p>
          <w:p>
            <w:pPr>
              <w:pStyle w:val="ConsPlusNormal"/>
              <w:tabs>
                <w:tab w:val="clear" w:pos="720"/>
              </w:tabs>
              <w:bidi w:val="0"/>
              <w:ind w:hanging="0" w:start="0"/>
              <w:jc w:val="center"/>
              <w:rPr/>
            </w:pPr>
            <w:r>
              <w:rPr>
                <w:color w:val="392C69"/>
              </w:rPr>
              <w:t>(в ред. Постановления Правительства РФ от 03.07.2025 N 1000)</w:t>
            </w:r>
          </w:p>
        </w:tc>
        <w:tc>
          <w:tcPr>
            <w:tcW w:w="113" w:type="dxa"/>
            <w:tcBorders/>
            <w:shd w:color="auto" w:fill="F4F3F8"/>
          </w:tcPr>
          <w:p>
            <w:pPr>
              <w:pStyle w:val="ConsPlusNormal"/>
              <w:tabs>
                <w:tab w:val="clear" w:pos="720"/>
              </w:tabs>
              <w:bidi w:val="0"/>
              <w:ind w:hanging="0" w:start="0"/>
              <w:jc w:val="center"/>
              <w:rPr>
                <w:color w:val="392C69"/>
              </w:rPr>
            </w:pPr>
            <w:r>
              <w:rPr>
                <w:color w:val="392C69"/>
              </w:rPr>
            </w:r>
          </w:p>
        </w:tc>
      </w:tr>
    </w:tbl>
    <w:p>
      <w:pPr>
        <w:pStyle w:val="ConsPlusNormal"/>
        <w:bidi w:val="0"/>
        <w:ind w:hanging="0" w:start="0"/>
        <w:jc w:val="center"/>
        <w:rPr/>
      </w:pPr>
      <w:r>
        <w:rPr/>
      </w:r>
    </w:p>
    <w:p>
      <w:pPr>
        <w:pStyle w:val="ConsPlusNormal"/>
        <w:bidi w:val="0"/>
        <w:ind w:firstLine="540" w:start="0"/>
        <w:jc w:val="both"/>
        <w:rPr/>
      </w:pPr>
      <w:r>
        <w:rPr/>
        <w:t>1. В пункте 1 слова "органов исполнительной власти субъектов" заменить словами "исполнительных органов субъектов".</w:t>
      </w:r>
    </w:p>
    <w:p>
      <w:pPr>
        <w:pStyle w:val="ConsPlusNormal"/>
        <w:bidi w:val="0"/>
        <w:spacing w:before="240" w:after="0"/>
        <w:ind w:firstLine="540" w:start="0"/>
        <w:jc w:val="both"/>
        <w:rPr/>
      </w:pPr>
      <w:r>
        <w:rPr/>
        <w:t>2. В пункте 7 слова "руководители высших исполнительных органов государственной власти субъектов" заменить словами "председатели высших исполнительных органов субъектов".</w:t>
      </w:r>
    </w:p>
    <w:p>
      <w:pPr>
        <w:pStyle w:val="ConsPlusNormal"/>
        <w:bidi w:val="0"/>
        <w:spacing w:before="240" w:after="0"/>
        <w:ind w:firstLine="540" w:start="0"/>
        <w:jc w:val="both"/>
        <w:rPr/>
      </w:pPr>
      <w:r>
        <w:rPr/>
        <w:t>3. В подпунктах "а" - "в" пункта 11 слова "органов исполнительной власти субъектов" заменить словами "исполнительных органов субъектов".</w:t>
      </w:r>
    </w:p>
    <w:p>
      <w:pPr>
        <w:pStyle w:val="ConsPlusNormal"/>
        <w:bidi w:val="0"/>
        <w:spacing w:before="240" w:after="0"/>
        <w:ind w:firstLine="540" w:start="0"/>
        <w:jc w:val="both"/>
        <w:rPr/>
      </w:pPr>
      <w:r>
        <w:rPr/>
        <w:t>4. Пункт 12(1) дополнить подпунктами "г" - "е" следующего содержания:</w:t>
      </w:r>
    </w:p>
    <w:p>
      <w:pPr>
        <w:pStyle w:val="ConsPlusNormal"/>
        <w:bidi w:val="0"/>
        <w:ind w:hanging="0" w:start="0"/>
        <w:jc w:val="both"/>
        <w:rPr/>
      </w:pPr>
      <w:r>
        <w:rPr/>
        <w:t>(в ред. Постановления Правительства РФ от 03.07.2025 N 1000)</w:t>
      </w:r>
    </w:p>
    <w:p>
      <w:pPr>
        <w:pStyle w:val="ConsPlusNormal"/>
        <w:bidi w:val="0"/>
        <w:spacing w:before="240" w:after="0"/>
        <w:ind w:firstLine="540" w:start="0"/>
        <w:jc w:val="both"/>
        <w:rPr/>
      </w:pPr>
      <w:r>
        <w:rPr/>
        <w:t>"г) принятие решений об одобрении основных параметров проекта региональной программы по модернизации систем коммунальной инфраструктуры в соответствии с Правилами предоставления публично-правовой компанией "Фонд развития территорий" финансовой поддержки бюджетам субъектов Российской Федерации за счет средств публично-правовой компании "Фонд развития территорий" на модернизацию систем коммунальной инфраструктуры на 2023 - 2027 годы, утвержденными постановлением Правительства Российской Федерации от 8 декабря 2022 г. N 2253 "Об утверждении Правил предоставления публично-правовой компанией "Фонд развития территорий" финансовой поддержки бюджетам субъектов Российской Федерации за счет средств публично-правовой компании "Фонд развития территорий" на модернизацию систем коммунальной инфраструктуры на 2023 - 2027 годы и о внесении изменений в Положение о Правительственной комиссии по региональному развитию в Российской Федерации" (далее - Правила, утвержденные постановлением Правительства Российской Федерации от 8 декабря 2022 г. N 2253);</w:t>
      </w:r>
    </w:p>
    <w:p>
      <w:pPr>
        <w:pStyle w:val="ConsPlusNormal"/>
        <w:bidi w:val="0"/>
        <w:spacing w:before="240" w:after="0"/>
        <w:ind w:firstLine="540" w:start="0"/>
        <w:jc w:val="both"/>
        <w:rPr/>
      </w:pPr>
      <w:r>
        <w:rPr/>
        <w:t>д) определение общего объема лимита предоставления финансовой поддержки бюджетам субъектов Российской Федерации за счет средств публично-правовой компании "Фонд развития территорий" на модернизацию систем коммунальной инфраструктуры и его распределение по субъектам Российской Федерации и годам реализации в соответствии с Правилами, утвержденными постановлением Правительства Российской Федерации от 8 декабря 2022 г. N 2253;</w:t>
      </w:r>
    </w:p>
    <w:p>
      <w:pPr>
        <w:pStyle w:val="ConsPlusNormal"/>
        <w:bidi w:val="0"/>
        <w:spacing w:before="240" w:after="0"/>
        <w:ind w:firstLine="540" w:start="0"/>
        <w:jc w:val="both"/>
        <w:rPr/>
      </w:pPr>
      <w:r>
        <w:rPr/>
        <w:t>е) утверждение методических рекомендаций по подготовке региональной программы по модернизации систем коммунальной инфраструктуры в соответствии с Правилами, утвержденными постановлением Правительства Российской Федерации от 8 декабря 2022 г. N 2253;</w:t>
      </w:r>
    </w:p>
    <w:p>
      <w:pPr>
        <w:pStyle w:val="ConsPlusNormal"/>
        <w:bidi w:val="0"/>
        <w:spacing w:before="240" w:after="0"/>
        <w:ind w:firstLine="540" w:start="0"/>
        <w:jc w:val="both"/>
        <w:rPr/>
      </w:pPr>
      <w:r>
        <w:rPr/>
        <w:t>ж) утратил силу. - Постановление Правительства РФ от 03.07.2025 N 1000.".</w:t>
      </w:r>
    </w:p>
    <w:p>
      <w:pPr>
        <w:pStyle w:val="ConsPlusNormal"/>
        <w:bidi w:val="0"/>
        <w:ind w:hanging="0" w:start="0"/>
        <w:jc w:val="both"/>
        <w:rPr/>
      </w:pPr>
      <w:r>
        <w:rPr/>
      </w:r>
    </w:p>
    <w:p>
      <w:pPr>
        <w:pStyle w:val="ConsPlusNormal"/>
        <w:bidi w:val="0"/>
        <w:ind w:hanging="0" w:start="0"/>
        <w:jc w:val="both"/>
        <w:rPr/>
      </w:pPr>
      <w:r>
        <w:rPr/>
      </w:r>
    </w:p>
    <w:p>
      <w:pPr>
        <w:pStyle w:val="ConsPlusNormal"/>
        <w:pBdr>
          <w:top w:val="single" w:sz="6" w:space="0" w:color="000000"/>
        </w:pBdr>
        <w:bidi w:val="0"/>
        <w:spacing w:before="100" w:after="100"/>
        <w:ind w:hanging="0" w:start="0"/>
        <w:jc w:val="both"/>
        <w:rPr>
          <w:sz w:val="0"/>
        </w:rPr>
      </w:pPr>
      <w:r>
        <w:rPr>
          <w:sz w:val="0"/>
        </w:rPr>
      </w:r>
    </w:p>
    <w:sectPr>
      <w:headerReference w:type="even" r:id="rId12"/>
      <w:headerReference w:type="default" r:id="rId13"/>
      <w:headerReference w:type="first" r:id="rId14"/>
      <w:footerReference w:type="even" r:id="rId15"/>
      <w:footerReference w:type="default" r:id="rId16"/>
      <w:footerReference w:type="first" r:id="rId17"/>
      <w:type w:val="nextPage"/>
      <w:pgSz w:w="11906" w:h="16838"/>
      <w:pgMar w:left="1133" w:right="566" w:gutter="0" w:header="0" w:top="1440" w:footer="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Times New Roman">
    <w:charset w:val="01"/>
    <w:family w:val="roman"/>
    <w:pitch w:val="default"/>
  </w:font>
  <w:font w:name="Courier New">
    <w:charset w:val="01"/>
    <w:family w:val="roman"/>
    <w:pitch w:val="default"/>
  </w:font>
  <w:font w:name="Arial">
    <w:charset w:val="01"/>
    <w:family w:val="roman"/>
    <w:pitch w:val="default"/>
  </w:font>
  <w:font w:name="Tahoma">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0208" w:type="dxa"/>
      <w:jc w:val="start"/>
      <w:tblInd w:w="40" w:type="dxa"/>
      <w:tblLayout w:type="fixed"/>
      <w:tblCellMar>
        <w:top w:w="0" w:type="dxa"/>
        <w:start w:w="40" w:type="dxa"/>
        <w:bottom w:w="0" w:type="dxa"/>
        <w:end w:w="40" w:type="dxa"/>
      </w:tblCellMar>
    </w:tblPr>
    <w:tblGrid>
      <w:gridCol w:w="3368"/>
      <w:gridCol w:w="3470"/>
      <w:gridCol w:w="3370"/>
    </w:tblGrid>
    <w:tr>
      <w:trPr>
        <w:trHeight w:val="1663" w:hRule="exact"/>
      </w:trPr>
      <w:tc>
        <w:tcPr>
          <w:tcW w:w="3368" w:type="dxa"/>
          <w:tcBorders/>
          <w:vAlign w:val="center"/>
        </w:tcPr>
        <w:p>
          <w:pPr>
            <w:pStyle w:val="ConsPlusNormal"/>
            <w:tabs>
              <w:tab w:val="clear" w:pos="720"/>
            </w:tabs>
            <w:bidi w:val="0"/>
            <w:jc w:val="star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3470"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3370" w:type="dxa"/>
          <w:tcBorders/>
          <w:vAlign w:val="center"/>
        </w:tcPr>
        <w:p>
          <w:pPr>
            <w:pStyle w:val="ConsPlusNormal"/>
            <w:tabs>
              <w:tab w:val="clear" w:pos="720"/>
            </w:tabs>
            <w:bidi w:val="0"/>
            <w:jc w:val="end"/>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13</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w:t>
          </w:r>
          <w:r>
            <w:rPr>
              <w:sz w:val="20"/>
              <w:u w:val="none"/>
              <w:rFonts w:ascii="Tahoma" w:hAnsi="Tahoma"/>
            </w:rPr>
            <w:fldChar w:fldCharType="end"/>
          </w:r>
        </w:p>
      </w:tc>
    </w:tr>
  </w:tbl>
  <w:p>
    <w:pPr>
      <w:pStyle w:val="ConsPlusNormal"/>
      <w:bidi w:val="0"/>
      <w:jc w:val="start"/>
      <w:rPr>
        <w:sz w:val="1"/>
      </w:rPr>
    </w:pPr>
    <w:r>
      <w:rPr>
        <w:sz w:val="1"/>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0208" w:type="dxa"/>
      <w:jc w:val="start"/>
      <w:tblInd w:w="40" w:type="dxa"/>
      <w:tblLayout w:type="fixed"/>
      <w:tblCellMar>
        <w:top w:w="0" w:type="dxa"/>
        <w:start w:w="40" w:type="dxa"/>
        <w:bottom w:w="0" w:type="dxa"/>
        <w:end w:w="40" w:type="dxa"/>
      </w:tblCellMar>
    </w:tblPr>
    <w:tblGrid>
      <w:gridCol w:w="3368"/>
      <w:gridCol w:w="3470"/>
      <w:gridCol w:w="3370"/>
    </w:tblGrid>
    <w:tr>
      <w:trPr>
        <w:trHeight w:val="1663" w:hRule="exact"/>
      </w:trPr>
      <w:tc>
        <w:tcPr>
          <w:tcW w:w="3368" w:type="dxa"/>
          <w:tcBorders/>
          <w:vAlign w:val="center"/>
        </w:tcPr>
        <w:p>
          <w:pPr>
            <w:pStyle w:val="ConsPlusNormal"/>
            <w:tabs>
              <w:tab w:val="clear" w:pos="720"/>
            </w:tabs>
            <w:bidi w:val="0"/>
            <w:jc w:val="star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3470"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3370" w:type="dxa"/>
          <w:tcBorders/>
          <w:vAlign w:val="center"/>
        </w:tcPr>
        <w:p>
          <w:pPr>
            <w:pStyle w:val="ConsPlusNormal"/>
            <w:tabs>
              <w:tab w:val="clear" w:pos="720"/>
            </w:tabs>
            <w:bidi w:val="0"/>
            <w:jc w:val="end"/>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13</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w:t>
          </w:r>
          <w:r>
            <w:rPr>
              <w:sz w:val="20"/>
              <w:u w:val="none"/>
              <w:rFonts w:ascii="Tahoma" w:hAnsi="Tahoma"/>
            </w:rPr>
            <w:fldChar w:fldCharType="end"/>
          </w:r>
        </w:p>
      </w:tc>
    </w:tr>
  </w:tbl>
  <w:p>
    <w:pPr>
      <w:pStyle w:val="ConsPlusNormal"/>
      <w:bidi w:val="0"/>
      <w:jc w:val="start"/>
      <w:rPr>
        <w:sz w:val="1"/>
      </w:rPr>
    </w:pPr>
    <w:r>
      <w:rPr>
        <w:sz w:val="1"/>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start"/>
      <w:tblInd w:w="40" w:type="dxa"/>
      <w:tblLayout w:type="fixed"/>
      <w:tblCellMar>
        <w:top w:w="0" w:type="dxa"/>
        <w:start w:w="40" w:type="dxa"/>
        <w:bottom w:w="0" w:type="dxa"/>
        <w:end w:w="40" w:type="dxa"/>
      </w:tblCellMar>
    </w:tblPr>
    <w:tblGrid>
      <w:gridCol w:w="5511"/>
      <w:gridCol w:w="4694"/>
    </w:tblGrid>
    <w:tr>
      <w:trPr>
        <w:trHeight w:val="1683" w:hRule="exact"/>
      </w:trPr>
      <w:tc>
        <w:tcPr>
          <w:tcW w:w="5511" w:type="dxa"/>
          <w:tcBorders/>
          <w:vAlign w:val="center"/>
        </w:tcPr>
        <w:p>
          <w:pPr>
            <w:pStyle w:val="ConsPlusNormal"/>
            <w:tabs>
              <w:tab w:val="clear" w:pos="720"/>
            </w:tabs>
            <w:bidi w:val="0"/>
            <w:jc w:val="start"/>
            <w:rPr/>
          </w:pPr>
          <w:r>
            <w:rPr>
              <w:rFonts w:ascii="Tahoma" w:hAnsi="Tahoma"/>
              <w:sz w:val="16"/>
              <w:u w:val="none"/>
            </w:rPr>
            <w:t>Постановление Правительства РФ от 08.12.2022 N 2253</w:t>
            <w:br/>
            <w:t>(ред. от 03.07.2025)</w:t>
            <w:br/>
            <w:t>"Об утверждении Правил предоставления публично-...</w:t>
          </w:r>
        </w:p>
      </w:tc>
      <w:tc>
        <w:tcPr>
          <w:tcW w:w="4694" w:type="dxa"/>
          <w:tcBorders/>
          <w:vAlign w:val="center"/>
        </w:tcPr>
        <w:p>
          <w:pPr>
            <w:pStyle w:val="ConsPlusNormal"/>
            <w:tabs>
              <w:tab w:val="clear" w:pos="720"/>
            </w:tabs>
            <w:bidi w:val="0"/>
            <w:jc w:val="end"/>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start"/>
      <w:tblInd w:w="40" w:type="dxa"/>
      <w:tblLayout w:type="fixed"/>
      <w:tblCellMar>
        <w:top w:w="0" w:type="dxa"/>
        <w:start w:w="40" w:type="dxa"/>
        <w:bottom w:w="0" w:type="dxa"/>
        <w:end w:w="40" w:type="dxa"/>
      </w:tblCellMar>
    </w:tblPr>
    <w:tblGrid>
      <w:gridCol w:w="5511"/>
      <w:gridCol w:w="4694"/>
    </w:tblGrid>
    <w:tr>
      <w:trPr>
        <w:trHeight w:val="1683" w:hRule="exact"/>
      </w:trPr>
      <w:tc>
        <w:tcPr>
          <w:tcW w:w="5511" w:type="dxa"/>
          <w:tcBorders/>
          <w:vAlign w:val="center"/>
        </w:tcPr>
        <w:p>
          <w:pPr>
            <w:pStyle w:val="ConsPlusNormal"/>
            <w:tabs>
              <w:tab w:val="clear" w:pos="720"/>
            </w:tabs>
            <w:bidi w:val="0"/>
            <w:jc w:val="start"/>
            <w:rPr/>
          </w:pPr>
          <w:r>
            <w:rPr>
              <w:rFonts w:ascii="Tahoma" w:hAnsi="Tahoma"/>
              <w:sz w:val="16"/>
              <w:u w:val="none"/>
            </w:rPr>
            <w:t>Постановление Правительства РФ от 08.12.2022 N 2253</w:t>
            <w:br/>
            <w:t>(ред. от 03.07.2025)</w:t>
            <w:br/>
            <w:t>"Об утверждении Правил предоставления публично-...</w:t>
          </w:r>
        </w:p>
      </w:tc>
      <w:tc>
        <w:tcPr>
          <w:tcW w:w="4694" w:type="dxa"/>
          <w:tcBorders/>
          <w:vAlign w:val="center"/>
        </w:tcPr>
        <w:p>
          <w:pPr>
            <w:pStyle w:val="ConsPlusNormal"/>
            <w:tabs>
              <w:tab w:val="clear" w:pos="720"/>
            </w:tabs>
            <w:bidi w:val="0"/>
            <w:jc w:val="end"/>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Noto Serif CJK SC" w:cs="FreeSans"/>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PT Astra Serif" w:hAnsi="PT Astra Serif" w:eastAsia="Noto Serif CJK SC" w:cs="FreeSans"/>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5">
    <w:name w:val="Указатель"/>
    <w:basedOn w:val="Normal"/>
    <w:qFormat/>
    <w:pPr>
      <w:suppressLineNumbers/>
    </w:pPr>
    <w:rPr>
      <w:rFonts w:ascii="PT Astra Serif" w:hAnsi="PT Astra Serif" w:cs="FreeSans"/>
    </w:rPr>
  </w:style>
  <w:style w:type="paragraph" w:styleId="ConsPlusNormal">
    <w:name w:val="ConsPlusNormal"/>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24"/>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Tahoma" w:hAnsi="Tahoma" w:eastAsia="Arial" w:cs="Courier New"/>
      <w:b w:val="false"/>
      <w:i w:val="false"/>
      <w:strike w:val="false"/>
      <w:dstrike w:val="false"/>
      <w:color w:val="auto"/>
      <w:kern w:val="2"/>
      <w:sz w:val="18"/>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24"/>
      <w:szCs w:val="24"/>
      <w:u w:val="none"/>
      <w:lang w:val="ru-RU" w:eastAsia="zh-CN" w:bidi="hi-IN"/>
    </w:rPr>
  </w:style>
  <w:style w:type="paragraph" w:styleId="ConsPlusJurTerm">
    <w:name w:val="ConsPlusJurTerm"/>
    <w:qFormat/>
    <w:pPr>
      <w:widowControl w:val="false"/>
      <w:bidi w:val="0"/>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Style16">
    <w:name w:val="Колонтитулы"/>
    <w:basedOn w:val="Normal"/>
    <w:qFormat/>
    <w:pPr/>
    <w:rPr/>
  </w:style>
  <w:style w:type="paragraph" w:styleId="Header">
    <w:name w:val="header"/>
    <w:basedOn w:val="Style16"/>
    <w:pPr/>
    <w:rPr/>
  </w:style>
  <w:style w:type="paragraph" w:styleId="Footer">
    <w:name w:val="footer"/>
    <w:basedOn w:val="Style1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image" Target="media/image2.wmf"/><Relationship Id="rId6" Type="http://schemas.openxmlformats.org/officeDocument/2006/relationships/image" Target="media/image3.wmf"/><Relationship Id="rId7" Type="http://schemas.openxmlformats.org/officeDocument/2006/relationships/image" Target="media/image4.wmf"/><Relationship Id="rId8" Type="http://schemas.openxmlformats.org/officeDocument/2006/relationships/image" Target="media/image5.wmf"/><Relationship Id="rId9" Type="http://schemas.openxmlformats.org/officeDocument/2006/relationships/image" Target="media/image6.wmf"/><Relationship Id="rId10" Type="http://schemas.openxmlformats.org/officeDocument/2006/relationships/image" Target="media/image7.wmf"/><Relationship Id="rId11" Type="http://schemas.openxmlformats.org/officeDocument/2006/relationships/image" Target="media/image5.wmf"/><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3.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3.xml.rels><?xml version="1.0" encoding="UTF-8"?>
<Relationships xmlns="http://schemas.openxmlformats.org/package/2006/relationships"><Relationship Id="rId1" Type="http://schemas.openxmlformats.org/officeDocument/2006/relationships/hyperlink" Target="https://www.consultant.ru/"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LibreOffice/25.2.6.2$Linux_X86_64 LibreOffice_project/520$Build-2</Application>
  <AppVersion>15.0000</AppVersion>
  <Pages>13</Pages>
  <Words>3869</Words>
  <Characters>29377</Characters>
  <CharactersWithSpaces>33108</CharactersWithSpaces>
  <Paragraphs>150</Paragraphs>
  <Company>КонсультантПлюс Версия 4024.00.30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2026-03-19T08:58:00Z</dcterms:created>
  <dc:creator/>
  <dc:description/>
  <dc:language>ru-RU</dc:language>
  <cp:lastModifiedBy/>
  <cp:revision>0</cp:revision>
  <dc:subject/>
  <dc:title>Постановление Правительства РФ от 08.12.2022 N 2253(ред. от 03.07.2025)"Об утверждении Правил предоставления публично-правовой компанией "Фонд развития территорий" финансовой поддержки бюджетам субъектов Российской Федерации за счет средств публично-правовой компании "Фонд развития территорий" на модернизацию систем коммунальной инфраструктуры на 2023 - 2027 годы и о внесении изменений в Положение о Правительственной комиссии по региональному развитию в Российской Федерации"</dc:title>
</cp:coreProperties>
</file>

<file path=docProps/custom.xml><?xml version="1.0" encoding="utf-8"?>
<Properties xmlns="http://schemas.openxmlformats.org/officeDocument/2006/custom-properties" xmlns:vt="http://schemas.openxmlformats.org/officeDocument/2006/docPropsVTypes"/>
</file>