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48" w:rsidRDefault="00E7454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4548" w:rsidRDefault="00E74548">
      <w:pPr>
        <w:pStyle w:val="ConsPlusNormal"/>
        <w:outlineLvl w:val="0"/>
      </w:pPr>
    </w:p>
    <w:p w:rsidR="00E74548" w:rsidRDefault="00E74548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E74548" w:rsidRDefault="00E74548">
      <w:pPr>
        <w:pStyle w:val="ConsPlusTitle"/>
        <w:jc w:val="center"/>
      </w:pPr>
    </w:p>
    <w:p w:rsidR="00E74548" w:rsidRDefault="00E74548">
      <w:pPr>
        <w:pStyle w:val="ConsPlusTitle"/>
        <w:jc w:val="center"/>
      </w:pPr>
      <w:r>
        <w:t>ПОСТАНОВЛЕНИЕ</w:t>
      </w:r>
    </w:p>
    <w:p w:rsidR="00E74548" w:rsidRDefault="00E74548">
      <w:pPr>
        <w:pStyle w:val="ConsPlusTitle"/>
        <w:jc w:val="center"/>
      </w:pPr>
      <w:r>
        <w:t>от 19 декабря 2018 г. N 317-п</w:t>
      </w:r>
    </w:p>
    <w:p w:rsidR="00E74548" w:rsidRDefault="00E74548">
      <w:pPr>
        <w:pStyle w:val="ConsPlusTitle"/>
        <w:jc w:val="center"/>
      </w:pPr>
    </w:p>
    <w:p w:rsidR="00E74548" w:rsidRDefault="00E74548">
      <w:pPr>
        <w:pStyle w:val="ConsPlusTitle"/>
        <w:jc w:val="center"/>
      </w:pPr>
      <w:r>
        <w:t>ОБ УТВЕРЖДЕНИИ ПОРЯДКА РАСХОДОВАНИЯ СУБВЕНЦИИ</w:t>
      </w:r>
    </w:p>
    <w:p w:rsidR="00E74548" w:rsidRDefault="00E74548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E74548" w:rsidRDefault="00E74548">
      <w:pPr>
        <w:pStyle w:val="ConsPlusTitle"/>
        <w:jc w:val="center"/>
      </w:pPr>
      <w:r>
        <w:t>ПО ПРЕДОСТАВЛЕНИЮ ГРАЖДАНАМ КОМПЕНСАЦИОННЫХ ВЫПЛАТ В ЦЕЛЯХ</w:t>
      </w:r>
    </w:p>
    <w:p w:rsidR="00E74548" w:rsidRDefault="00E74548">
      <w:pPr>
        <w:pStyle w:val="ConsPlusTitle"/>
        <w:jc w:val="center"/>
      </w:pPr>
      <w:r>
        <w:t>СОЗДАНИЯ ДОПОЛНИТЕЛЬНЫХ УСЛОВИЙ ДЛЯ РАССЕЛЕНИЯ ГРАЖДАН</w:t>
      </w:r>
    </w:p>
    <w:p w:rsidR="00E74548" w:rsidRDefault="00E74548">
      <w:pPr>
        <w:pStyle w:val="ConsPlusTitle"/>
        <w:jc w:val="center"/>
      </w:pPr>
      <w:r>
        <w:t>ИЗ ЖИЛЫХ ПОМЕЩЕНИЙ В ДОМАХ, ПРИЗНАННЫХ АВАРИЙНЫМИ</w:t>
      </w:r>
    </w:p>
    <w:p w:rsidR="00E74548" w:rsidRDefault="00E745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45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548" w:rsidRDefault="00E745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548" w:rsidRDefault="00E745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4548" w:rsidRDefault="00E745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548" w:rsidRDefault="00E745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19.11.2019 </w:t>
            </w:r>
            <w:hyperlink r:id="rId5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>,</w:t>
            </w:r>
          </w:p>
          <w:p w:rsidR="00E74548" w:rsidRDefault="00E745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6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548" w:rsidRDefault="00E74548">
            <w:pPr>
              <w:spacing w:after="1" w:line="0" w:lineRule="atLeast"/>
            </w:pPr>
          </w:p>
        </w:tc>
      </w:tr>
    </w:tbl>
    <w:p w:rsidR="00E74548" w:rsidRDefault="00E74548">
      <w:pPr>
        <w:pStyle w:val="ConsPlusNormal"/>
        <w:jc w:val="center"/>
      </w:pPr>
    </w:p>
    <w:p w:rsidR="00E74548" w:rsidRDefault="00E7454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140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частью 7 статьи 4</w:t>
        </w:r>
      </w:hyperlink>
      <w:r>
        <w:t xml:space="preserve"> закона Ненецкого автономного округа от 29.10.2018 N 3-ОЗ "О создании дополнительных условий для расселения граждан из жилых помещений в домах, признанных аварийными, и порядке наделения органов местного самоуправления отдельными государственными полномочиями Ненецкого автономного округа" Администрация Ненецкого автономного округа постановляет: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расходования субвенции 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аварийными, согласно Приложению.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года.</w:t>
      </w:r>
    </w:p>
    <w:p w:rsidR="00E74548" w:rsidRDefault="00E74548">
      <w:pPr>
        <w:pStyle w:val="ConsPlusNormal"/>
        <w:jc w:val="both"/>
      </w:pPr>
    </w:p>
    <w:p w:rsidR="00E74548" w:rsidRDefault="00E74548">
      <w:pPr>
        <w:pStyle w:val="ConsPlusNormal"/>
        <w:jc w:val="right"/>
      </w:pPr>
      <w:r>
        <w:t>Губернатор</w:t>
      </w:r>
    </w:p>
    <w:p w:rsidR="00E74548" w:rsidRDefault="00E74548">
      <w:pPr>
        <w:pStyle w:val="ConsPlusNormal"/>
        <w:jc w:val="right"/>
      </w:pPr>
      <w:r>
        <w:t>Ненецкого автономного округа</w:t>
      </w:r>
    </w:p>
    <w:p w:rsidR="00E74548" w:rsidRDefault="00E74548">
      <w:pPr>
        <w:pStyle w:val="ConsPlusNormal"/>
        <w:jc w:val="right"/>
      </w:pPr>
      <w:r>
        <w:t>А.В.ЦЫБУЛЬСКИЙ</w:t>
      </w:r>
    </w:p>
    <w:p w:rsidR="00E74548" w:rsidRDefault="00E74548">
      <w:pPr>
        <w:pStyle w:val="ConsPlusNormal"/>
        <w:jc w:val="both"/>
      </w:pPr>
    </w:p>
    <w:p w:rsidR="00E74548" w:rsidRDefault="00E74548">
      <w:pPr>
        <w:pStyle w:val="ConsPlusNormal"/>
        <w:jc w:val="both"/>
      </w:pPr>
    </w:p>
    <w:p w:rsidR="00E74548" w:rsidRDefault="00E74548">
      <w:pPr>
        <w:pStyle w:val="ConsPlusNormal"/>
        <w:jc w:val="both"/>
      </w:pPr>
    </w:p>
    <w:p w:rsidR="00E74548" w:rsidRDefault="00E74548">
      <w:pPr>
        <w:pStyle w:val="ConsPlusNormal"/>
        <w:jc w:val="both"/>
      </w:pPr>
    </w:p>
    <w:p w:rsidR="00E74548" w:rsidRDefault="00E74548">
      <w:pPr>
        <w:pStyle w:val="ConsPlusNormal"/>
        <w:jc w:val="both"/>
      </w:pPr>
    </w:p>
    <w:p w:rsidR="00E74548" w:rsidRDefault="00E74548">
      <w:pPr>
        <w:pStyle w:val="ConsPlusNormal"/>
        <w:jc w:val="right"/>
        <w:outlineLvl w:val="0"/>
      </w:pPr>
      <w:r>
        <w:t>Приложение</w:t>
      </w:r>
    </w:p>
    <w:p w:rsidR="00E74548" w:rsidRDefault="00E74548">
      <w:pPr>
        <w:pStyle w:val="ConsPlusNormal"/>
        <w:jc w:val="right"/>
      </w:pPr>
      <w:r>
        <w:t>к постановлению Администрации</w:t>
      </w:r>
    </w:p>
    <w:p w:rsidR="00E74548" w:rsidRDefault="00E74548">
      <w:pPr>
        <w:pStyle w:val="ConsPlusNormal"/>
        <w:jc w:val="right"/>
      </w:pPr>
      <w:r>
        <w:t>Ненецкого автономного округа</w:t>
      </w:r>
    </w:p>
    <w:p w:rsidR="00E74548" w:rsidRDefault="00E74548">
      <w:pPr>
        <w:pStyle w:val="ConsPlusNormal"/>
        <w:jc w:val="right"/>
      </w:pPr>
      <w:r>
        <w:t>от 19.12.2018 N 317-п</w:t>
      </w:r>
    </w:p>
    <w:p w:rsidR="00E74548" w:rsidRDefault="00E74548">
      <w:pPr>
        <w:pStyle w:val="ConsPlusNormal"/>
        <w:jc w:val="right"/>
      </w:pPr>
      <w:r>
        <w:t>"Об утверждении Порядка расходования</w:t>
      </w:r>
    </w:p>
    <w:p w:rsidR="00E74548" w:rsidRDefault="00E74548">
      <w:pPr>
        <w:pStyle w:val="ConsPlusNormal"/>
        <w:jc w:val="right"/>
      </w:pPr>
      <w:r>
        <w:t>субвенции на осуществление отдельных</w:t>
      </w:r>
    </w:p>
    <w:p w:rsidR="00E74548" w:rsidRDefault="00E74548">
      <w:pPr>
        <w:pStyle w:val="ConsPlusNormal"/>
        <w:jc w:val="right"/>
      </w:pPr>
      <w:r>
        <w:t>государственных полномочий по предоставлению</w:t>
      </w:r>
    </w:p>
    <w:p w:rsidR="00E74548" w:rsidRDefault="00E74548">
      <w:pPr>
        <w:pStyle w:val="ConsPlusNormal"/>
        <w:jc w:val="right"/>
      </w:pPr>
      <w:r>
        <w:t>гражданам компенсационных выплат в целях</w:t>
      </w:r>
    </w:p>
    <w:p w:rsidR="00E74548" w:rsidRDefault="00E74548">
      <w:pPr>
        <w:pStyle w:val="ConsPlusNormal"/>
        <w:jc w:val="right"/>
      </w:pPr>
      <w:r>
        <w:t>создания дополнительных условий для</w:t>
      </w:r>
    </w:p>
    <w:p w:rsidR="00E74548" w:rsidRDefault="00E74548">
      <w:pPr>
        <w:pStyle w:val="ConsPlusNormal"/>
        <w:jc w:val="right"/>
      </w:pPr>
      <w:r>
        <w:t>расселения граждан из жилых помещений</w:t>
      </w:r>
    </w:p>
    <w:p w:rsidR="00E74548" w:rsidRDefault="00E74548">
      <w:pPr>
        <w:pStyle w:val="ConsPlusNormal"/>
        <w:jc w:val="right"/>
      </w:pPr>
      <w:r>
        <w:t>в домах, признанных аварийными"</w:t>
      </w:r>
    </w:p>
    <w:p w:rsidR="00E74548" w:rsidRDefault="00E74548">
      <w:pPr>
        <w:pStyle w:val="ConsPlusNormal"/>
        <w:jc w:val="center"/>
      </w:pPr>
    </w:p>
    <w:p w:rsidR="00E74548" w:rsidRDefault="00E74548">
      <w:pPr>
        <w:pStyle w:val="ConsPlusTitle"/>
        <w:jc w:val="center"/>
      </w:pPr>
      <w:bookmarkStart w:id="1" w:name="P39"/>
      <w:bookmarkEnd w:id="1"/>
      <w:r>
        <w:t>ПОРЯДОК</w:t>
      </w:r>
    </w:p>
    <w:p w:rsidR="00E74548" w:rsidRDefault="00E74548">
      <w:pPr>
        <w:pStyle w:val="ConsPlusTitle"/>
        <w:jc w:val="center"/>
      </w:pPr>
      <w:r>
        <w:t>РАСХОДОВАНИЯ СУБВЕНЦИИ НА ОСУЩЕСТВЛЕНИЕ ОТДЕЛЬНЫХ</w:t>
      </w:r>
    </w:p>
    <w:p w:rsidR="00E74548" w:rsidRDefault="00E74548">
      <w:pPr>
        <w:pStyle w:val="ConsPlusTitle"/>
        <w:jc w:val="center"/>
      </w:pPr>
      <w:r>
        <w:lastRenderedPageBreak/>
        <w:t>ГОСУДАРСТВЕННЫХ ПОЛНОМОЧИЙ ПО ПРЕДОСТАВЛЕНИЮ ГРАЖДАНАМ</w:t>
      </w:r>
    </w:p>
    <w:p w:rsidR="00E74548" w:rsidRDefault="00E74548">
      <w:pPr>
        <w:pStyle w:val="ConsPlusTitle"/>
        <w:jc w:val="center"/>
      </w:pPr>
      <w:r>
        <w:t>КОМПЕНСАЦИОННЫХ ВЫПЛАТ В ЦЕЛЯХ СОЗДАНИЯ ДОПОЛНИТЕЛЬНЫХ</w:t>
      </w:r>
    </w:p>
    <w:p w:rsidR="00E74548" w:rsidRDefault="00E74548">
      <w:pPr>
        <w:pStyle w:val="ConsPlusTitle"/>
        <w:jc w:val="center"/>
      </w:pPr>
      <w:r>
        <w:t>УСЛОВИЙ ДЛЯ РАССЕЛЕНИЯ ГРАЖДАН ИЗ ЖИЛЫХ ПОМЕЩЕНИЙ</w:t>
      </w:r>
    </w:p>
    <w:p w:rsidR="00E74548" w:rsidRDefault="00E74548">
      <w:pPr>
        <w:pStyle w:val="ConsPlusTitle"/>
        <w:jc w:val="center"/>
      </w:pPr>
      <w:r>
        <w:t>В ДОМАХ, ПРИЗНАННЫХ АВАРИЙНЫМИ</w:t>
      </w:r>
    </w:p>
    <w:p w:rsidR="00E74548" w:rsidRDefault="00E745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45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548" w:rsidRDefault="00E745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548" w:rsidRDefault="00E745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4548" w:rsidRDefault="00E745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548" w:rsidRDefault="00E745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19.11.2019 </w:t>
            </w:r>
            <w:hyperlink r:id="rId9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>,</w:t>
            </w:r>
          </w:p>
          <w:p w:rsidR="00E74548" w:rsidRDefault="00E745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10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548" w:rsidRDefault="00E74548">
            <w:pPr>
              <w:spacing w:after="1" w:line="0" w:lineRule="atLeast"/>
            </w:pPr>
          </w:p>
        </w:tc>
      </w:tr>
    </w:tbl>
    <w:p w:rsidR="00E74548" w:rsidRDefault="00E74548">
      <w:pPr>
        <w:pStyle w:val="ConsPlusNormal"/>
      </w:pPr>
    </w:p>
    <w:p w:rsidR="00E74548" w:rsidRDefault="00E74548">
      <w:pPr>
        <w:pStyle w:val="ConsPlusNormal"/>
        <w:ind w:firstLine="540"/>
        <w:jc w:val="both"/>
      </w:pPr>
      <w:r>
        <w:t>1. Настоящий Порядок определяет правила расходования субвенции, предоставляемой из окружного бюджета бюджетам муниципальных образований Ненецкого автономного округа (далее - местным бюджетам) 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 (далее - Порядок, субвенция, государственные полномочия, компенсационные выплаты).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>2. Финансовое обеспечение переданных органам местного самоуправления муниципальных образований Ненецкого автономного округа (далее - органы местного самоуправления) государственных полномочий осуществляется за счет субвенции в объеме средств, предусмотренных на указанные цели в окружном бюджете на соответствующий финансовый год.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>3. Департамент финансов и экономики Ненецкого автономного округа доводит расходными расписаниями до Департамента строительства, жилищно-коммунального хозяйства, энергетики и транспорта Ненецкого автономного округа (далее - Департамент) предельные объемы финансирования в соответствии со сводной бюджетной росписью окружного бюджета в пределах доведенных лимитов бюджетных обязательств и показателей кассового плана окружного бюджета.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>4. Субвенции местным бюджетам предоставляются Департаментом в соответствии со сводной бюджетной росписью, кассовым планом окружного бюджета в пределах доведенных лимитов бюджетных обязательств, предусмотренных на указанные цели Департаменту.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>Субвенция предоставляется в соответствии с соглашениями, заключаемыми между Департаментом и органами местного самоуправления (далее - соглашение).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>5. Субвенция перечисляется Департаментом в местные бюджеты на счета, открытые в Управлении Федерального казначейства по Архангельской области и Ненецкому автономному округу для учета поступлений.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>Перечисление субвенции осуществляется в течение 10 рабочих дней на основании заявок на финансирование, предоставляемых органами местного самоуправления по форме, установленной соглашением.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>6. Расходование средств, полученных в виде субвенции на выполнение государственных полномочий, осуществляется органами местного самоуправления по следующим направлениям: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>1) на предоставление компенсационных выплат гражданам;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>2) на оплату услуг почтовой связи или российских кредитных организаций, связанных с перечислением компенсационных выплат.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>7. Органы местного самоуправления ежеквартально (за исключением последнего квартала) в срок до 5 числа месяца, следующего за отчетным кварталом, представляют в Департамент отчет об использовании субвенции по форме, установленной соглашением. Годовой отчет предоставляется в срок до 1 февраля года, следующего за отчетным.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lastRenderedPageBreak/>
        <w:t>8. Не использованные на 1 января очередного финансового года остатки субвенции, имеющие целевое назначение, подлежат возврату в доход окружного бюджета в течение первых 15 рабочих дней текущего финансового года.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 xml:space="preserve">9. Неиспользованные остатки субвенций, поступившие в окружной бюджет, могут быть возвращены из окружного бюджета в текущем финансовом году в доход местного бюджета в целях предоставления гражданам компенсационных выплат по уведомлениям, выданным и неоплаченным на 1 января очередного финансового года,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возврата местному бюджету межбюджетных трансфертов, полученных из окружного бюджета в форме субсидий, субвенций и иных межбюджетных трансфертов, имеющих целевое назначение, не использованных в отчетном финансовом году, утвержденным постановлением Администрации Ненецкого автономного округа от 03.08.2018 N 190-п.</w:t>
      </w:r>
    </w:p>
    <w:p w:rsidR="00E74548" w:rsidRDefault="00E7454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НАО от 19.11.2019 N 300-п)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 xml:space="preserve">В случае принятия в текущем финансовом году уполномоченным органом решения о снятии гражданина, получившего уведомление, с учета для получения компенсационной выплаты по причинам, указанным в </w:t>
      </w:r>
      <w:hyperlink r:id="rId13" w:history="1">
        <w:r>
          <w:rPr>
            <w:color w:val="0000FF"/>
          </w:rPr>
          <w:t>пункте 58</w:t>
        </w:r>
      </w:hyperlink>
      <w:r>
        <w:t xml:space="preserve"> (за исключением </w:t>
      </w:r>
      <w:hyperlink r:id="rId14" w:history="1">
        <w:r>
          <w:rPr>
            <w:color w:val="0000FF"/>
          </w:rPr>
          <w:t>подпункта 2 пункта 58</w:t>
        </w:r>
      </w:hyperlink>
      <w:r>
        <w:t>) Порядка учета граждан, имеющих право на компенсационную выплату, определения размера, предоставления и использования компенсационной выплаты при освобождении гражданами жилых помещений в домах, признанных в установленном порядке аварийными, утвержденного постановлением Администрации Ненецкого автономного округа от 26.12.2018 N 334-п, высвободившиеся бюджетные средства, возвращенные ранее в доход местного бюджета, направляются на выдачу компенсационных выплат следующим по списку гражданам.</w:t>
      </w:r>
    </w:p>
    <w:p w:rsidR="00E74548" w:rsidRDefault="00E74548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НАО от 03.08.2020 N 207-п)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>10. Органы местного самоуправления несут ответственность за нецелевое использование субвенции и недостоверность представляемых отчетных сведений.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>11. В случае нецелевого использования субвенции соответствующие средства взыскиваются в окружной бюджет в соответствии с законодательством Российской Федерации.</w:t>
      </w:r>
    </w:p>
    <w:p w:rsidR="00E74548" w:rsidRDefault="00E74548">
      <w:pPr>
        <w:pStyle w:val="ConsPlusNormal"/>
        <w:spacing w:before="220"/>
        <w:ind w:firstLine="540"/>
        <w:jc w:val="both"/>
      </w:pPr>
      <w:r>
        <w:t>12. Контроль за целевым использованием субвенции органами местного самоуправления осуществляется Департаментом и исполнительными органами государственной власти Ненецкого автономного округа, осуществляющими государственный финансовый контроль.</w:t>
      </w:r>
    </w:p>
    <w:p w:rsidR="00E74548" w:rsidRDefault="00E74548">
      <w:pPr>
        <w:pStyle w:val="ConsPlusNormal"/>
        <w:jc w:val="both"/>
      </w:pPr>
    </w:p>
    <w:p w:rsidR="00E74548" w:rsidRDefault="00E74548">
      <w:pPr>
        <w:pStyle w:val="ConsPlusNormal"/>
        <w:jc w:val="both"/>
      </w:pPr>
    </w:p>
    <w:p w:rsidR="00E74548" w:rsidRDefault="00E74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839" w:rsidRDefault="00B77839"/>
    <w:sectPr w:rsidR="00B77839" w:rsidSect="0075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8"/>
    <w:rsid w:val="005A3B07"/>
    <w:rsid w:val="00B77839"/>
    <w:rsid w:val="00E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36EC-FBE8-4FB9-AA3B-FD565CAE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870B919D0F93E35344E0494D7FBE4E31D7F0E1BF1E2F527A1CD583BDA309B8A002E4FBF543C70C7F2C0BFA35F7C5F3922D9B5822ACFB68F127EX8vFM" TargetMode="External"/><Relationship Id="rId13" Type="http://schemas.openxmlformats.org/officeDocument/2006/relationships/hyperlink" Target="consultantplus://offline/ref=EA6870B919D0F93E35344E0494D7FBE4E31D7F0E1BF1E7F625A1CD583BDA309B8A002E4FBF543C70C7F3C2BDA35F7C5F3922D9B5822ACFB68F127EX8v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6870B919D0F93E3534500982BBACE8E31E28001CFAE8A07DFE96056CD33ACCCD4F770EFA5C3B7B93A382EAA50A2B056D2DC6B19C29XCvCM" TargetMode="External"/><Relationship Id="rId12" Type="http://schemas.openxmlformats.org/officeDocument/2006/relationships/hyperlink" Target="consultantplus://offline/ref=EA6870B919D0F93E35344E0494D7FBE4E31D7F0E1BFAE5F320A1CD583BDA309B8A002E4FBF543C70C7F2C6BAA35F7C5F3922D9B5822ACFB68F127EX8vF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6870B919D0F93E35344E0494D7FBE4E31D7F0E1BFDE6FF25A1CD583BDA309B8A002E4FBF543C70C7F2C7BFA35F7C5F3922D9B5822ACFB68F127EX8vFM" TargetMode="External"/><Relationship Id="rId11" Type="http://schemas.openxmlformats.org/officeDocument/2006/relationships/hyperlink" Target="consultantplus://offline/ref=EA6870B919D0F93E35344E0494D7FBE4E31D7F0E1BFDE5F420A1CD583BDA309B8A002E4FBF543C70C7F2C7BFA35F7C5F3922D9B5822ACFB68F127EX8vFM" TargetMode="External"/><Relationship Id="rId5" Type="http://schemas.openxmlformats.org/officeDocument/2006/relationships/hyperlink" Target="consultantplus://offline/ref=EA6870B919D0F93E35344E0494D7FBE4E31D7F0E1BFAE5F320A1CD583BDA309B8A002E4FBF543C70C7F2C6BAA35F7C5F3922D9B5822ACFB68F127EX8vFM" TargetMode="External"/><Relationship Id="rId15" Type="http://schemas.openxmlformats.org/officeDocument/2006/relationships/hyperlink" Target="consultantplus://offline/ref=EA6870B919D0F93E35344E0494D7FBE4E31D7F0E1BFDE6FF25A1CD583BDA309B8A002E4FBF543C70C7F2C7BFA35F7C5F3922D9B5822ACFB68F127EX8vFM" TargetMode="External"/><Relationship Id="rId10" Type="http://schemas.openxmlformats.org/officeDocument/2006/relationships/hyperlink" Target="consultantplus://offline/ref=EA6870B919D0F93E35344E0494D7FBE4E31D7F0E1BFDE6FF25A1CD583BDA309B8A002E4FBF543C70C7F2C7BFA35F7C5F3922D9B5822ACFB68F127EX8v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6870B919D0F93E35344E0494D7FBE4E31D7F0E1BFAE5F320A1CD583BDA309B8A002E4FBF543C70C7F2C6BAA35F7C5F3922D9B5822ACFB68F127EX8vFM" TargetMode="External"/><Relationship Id="rId14" Type="http://schemas.openxmlformats.org/officeDocument/2006/relationships/hyperlink" Target="consultantplus://offline/ref=EA6870B919D0F93E35344E0494D7FBE4E31D7F0E1BF1E7F625A1CD583BDA309B8A002E4FBF543C70C7F3C2BBA35F7C5F3922D9B5822ACFB68F127EX8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Елизавета Геннадьевна</dc:creator>
  <cp:keywords/>
  <dc:description/>
  <cp:lastModifiedBy>Зорина Марина Павловна</cp:lastModifiedBy>
  <cp:revision>2</cp:revision>
  <dcterms:created xsi:type="dcterms:W3CDTF">2021-12-16T12:55:00Z</dcterms:created>
  <dcterms:modified xsi:type="dcterms:W3CDTF">2021-12-16T12:55:00Z</dcterms:modified>
</cp:coreProperties>
</file>