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FA" w:rsidRDefault="008222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22FA" w:rsidRDefault="008222FA">
      <w:pPr>
        <w:pStyle w:val="ConsPlusNormal"/>
        <w:jc w:val="both"/>
        <w:outlineLvl w:val="0"/>
      </w:pPr>
    </w:p>
    <w:p w:rsidR="008222FA" w:rsidRDefault="008222FA">
      <w:pPr>
        <w:pStyle w:val="ConsPlusNormal"/>
        <w:jc w:val="right"/>
        <w:outlineLvl w:val="0"/>
      </w:pPr>
      <w:r>
        <w:t>Утвержден и введен в действие</w:t>
      </w:r>
    </w:p>
    <w:p w:rsidR="008222FA" w:rsidRDefault="008222FA">
      <w:pPr>
        <w:pStyle w:val="ConsPlusNormal"/>
        <w:jc w:val="right"/>
      </w:pPr>
      <w:r>
        <w:t>Приказом Ростехрегулирования</w:t>
      </w:r>
    </w:p>
    <w:p w:rsidR="008222FA" w:rsidRDefault="008222FA">
      <w:pPr>
        <w:pStyle w:val="ConsPlusNormal"/>
        <w:jc w:val="right"/>
      </w:pPr>
      <w:r>
        <w:t>от 9 октября 2006 г. N 221-ст</w:t>
      </w:r>
    </w:p>
    <w:p w:rsidR="008222FA" w:rsidRDefault="008222FA">
      <w:pPr>
        <w:pStyle w:val="ConsPlusNormal"/>
        <w:jc w:val="center"/>
      </w:pPr>
    </w:p>
    <w:p w:rsidR="008222FA" w:rsidRDefault="008222FA">
      <w:pPr>
        <w:pStyle w:val="ConsPlusTitle"/>
        <w:jc w:val="center"/>
      </w:pPr>
      <w:r>
        <w:t>НАЦИОНАЛЬНЫЙ СТАНДАРТ РОССИЙСКОЙ ФЕДЕРАЦИИ</w:t>
      </w:r>
    </w:p>
    <w:p w:rsidR="008222FA" w:rsidRDefault="008222FA">
      <w:pPr>
        <w:pStyle w:val="ConsPlusTitle"/>
        <w:jc w:val="center"/>
      </w:pPr>
    </w:p>
    <w:p w:rsidR="008222FA" w:rsidRDefault="008222FA">
      <w:pPr>
        <w:pStyle w:val="ConsPlusTitle"/>
        <w:jc w:val="center"/>
      </w:pPr>
      <w:r>
        <w:t>ДОРОГИ АВТОМОБИЛЬНЫЕ ОБЩЕГО ПОЛЬЗОВАНИЯ</w:t>
      </w:r>
    </w:p>
    <w:p w:rsidR="008222FA" w:rsidRDefault="008222FA">
      <w:pPr>
        <w:pStyle w:val="ConsPlusTitle"/>
        <w:jc w:val="center"/>
      </w:pPr>
    </w:p>
    <w:p w:rsidR="008222FA" w:rsidRDefault="008222FA">
      <w:pPr>
        <w:pStyle w:val="ConsPlusTitle"/>
        <w:jc w:val="center"/>
      </w:pPr>
      <w:r>
        <w:t>МАТЕРИАЛЫ ДЛЯ ДОРОЖНОЙ РАЗМЕТКИ</w:t>
      </w:r>
    </w:p>
    <w:p w:rsidR="008222FA" w:rsidRDefault="008222FA">
      <w:pPr>
        <w:pStyle w:val="ConsPlusTitle"/>
        <w:jc w:val="center"/>
      </w:pPr>
    </w:p>
    <w:p w:rsidR="008222FA" w:rsidRDefault="008222FA">
      <w:pPr>
        <w:pStyle w:val="ConsPlusTitle"/>
        <w:jc w:val="center"/>
      </w:pPr>
      <w:r>
        <w:t>ТЕХНИЧЕСКИЕ ТРЕБОВАНИЯ</w:t>
      </w:r>
    </w:p>
    <w:p w:rsidR="008222FA" w:rsidRDefault="008222FA">
      <w:pPr>
        <w:pStyle w:val="ConsPlusTitle"/>
        <w:jc w:val="center"/>
      </w:pPr>
    </w:p>
    <w:p w:rsidR="008222FA" w:rsidRPr="008222FA" w:rsidRDefault="008222FA">
      <w:pPr>
        <w:pStyle w:val="ConsPlusTitle"/>
        <w:jc w:val="center"/>
        <w:rPr>
          <w:lang w:val="en-US"/>
        </w:rPr>
      </w:pPr>
      <w:r w:rsidRPr="008222FA">
        <w:rPr>
          <w:lang w:val="en-US"/>
        </w:rPr>
        <w:t>General use highways. Road marking materials.</w:t>
      </w:r>
    </w:p>
    <w:p w:rsidR="008222FA" w:rsidRPr="008222FA" w:rsidRDefault="008222FA">
      <w:pPr>
        <w:pStyle w:val="ConsPlusTitle"/>
        <w:jc w:val="center"/>
        <w:rPr>
          <w:lang w:val="en-US"/>
        </w:rPr>
      </w:pPr>
      <w:r w:rsidRPr="008222FA">
        <w:rPr>
          <w:lang w:val="en-US"/>
        </w:rPr>
        <w:t>Technical requirements</w:t>
      </w:r>
    </w:p>
    <w:p w:rsidR="008222FA" w:rsidRPr="008222FA" w:rsidRDefault="008222FA">
      <w:pPr>
        <w:pStyle w:val="ConsPlusTitle"/>
        <w:jc w:val="center"/>
        <w:rPr>
          <w:lang w:val="en-US"/>
        </w:rPr>
      </w:pPr>
    </w:p>
    <w:p w:rsidR="008222FA" w:rsidRPr="008222FA" w:rsidRDefault="008222FA">
      <w:pPr>
        <w:pStyle w:val="ConsPlusTitle"/>
        <w:jc w:val="center"/>
        <w:rPr>
          <w:lang w:val="en-US"/>
        </w:rPr>
      </w:pPr>
      <w:r>
        <w:t>ГОСТ</w:t>
      </w:r>
      <w:r w:rsidRPr="008222FA">
        <w:rPr>
          <w:lang w:val="en-US"/>
        </w:rPr>
        <w:t xml:space="preserve"> </w:t>
      </w:r>
      <w:r>
        <w:t>Р</w:t>
      </w:r>
      <w:r w:rsidRPr="008222FA">
        <w:rPr>
          <w:lang w:val="en-US"/>
        </w:rPr>
        <w:t xml:space="preserve"> 52575-2006</w:t>
      </w:r>
    </w:p>
    <w:p w:rsidR="008222FA" w:rsidRPr="008222FA" w:rsidRDefault="008222FA">
      <w:pPr>
        <w:pStyle w:val="ConsPlusNormal"/>
        <w:ind w:firstLine="540"/>
        <w:jc w:val="both"/>
        <w:rPr>
          <w:lang w:val="en-US"/>
        </w:rPr>
      </w:pPr>
    </w:p>
    <w:p w:rsidR="008222FA" w:rsidRPr="008222FA" w:rsidRDefault="008222FA">
      <w:pPr>
        <w:pStyle w:val="ConsPlusNormal"/>
        <w:jc w:val="right"/>
        <w:rPr>
          <w:lang w:val="en-US"/>
        </w:rPr>
      </w:pPr>
      <w:r>
        <w:t>Группа</w:t>
      </w:r>
      <w:r w:rsidRPr="008222FA">
        <w:rPr>
          <w:lang w:val="en-US"/>
        </w:rPr>
        <w:t xml:space="preserve"> </w:t>
      </w:r>
      <w:r>
        <w:t>Т</w:t>
      </w:r>
      <w:r w:rsidRPr="008222FA">
        <w:rPr>
          <w:lang w:val="en-US"/>
        </w:rPr>
        <w:t>52</w:t>
      </w:r>
    </w:p>
    <w:p w:rsidR="008222FA" w:rsidRPr="008222FA" w:rsidRDefault="008222FA">
      <w:pPr>
        <w:pStyle w:val="ConsPlusNormal"/>
        <w:ind w:firstLine="540"/>
        <w:jc w:val="both"/>
        <w:rPr>
          <w:lang w:val="en-US"/>
        </w:rPr>
      </w:pPr>
    </w:p>
    <w:p w:rsidR="008222FA" w:rsidRDefault="008222FA">
      <w:pPr>
        <w:pStyle w:val="ConsPlusNormal"/>
        <w:jc w:val="right"/>
      </w:pPr>
      <w:r>
        <w:t>ОКС 93.080.30;</w:t>
      </w:r>
    </w:p>
    <w:p w:rsidR="008222FA" w:rsidRDefault="008222FA">
      <w:pPr>
        <w:pStyle w:val="ConsPlusNormal"/>
        <w:jc w:val="right"/>
      </w:pPr>
      <w:r>
        <w:t>ОКП 48 0000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t>Дата введения</w:t>
      </w:r>
    </w:p>
    <w:p w:rsidR="008222FA" w:rsidRDefault="008222FA">
      <w:pPr>
        <w:pStyle w:val="ConsPlusNormal"/>
        <w:jc w:val="right"/>
      </w:pPr>
      <w:r>
        <w:t>1 января 2007 года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1"/>
      </w:pPr>
      <w:r>
        <w:t>Предисловие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6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1"/>
      </w:pPr>
      <w:r>
        <w:t>Сведения о стандарте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1. Разработан Московским автомобильно-дорожным институтом (Государственным техническим университетом), ООО НПЦ "М Дорконтроль", ООО НТЦ "Катафот".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ТК 418 "Дорожное хозяйство".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9 октября 2006 г. N 221-ст.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4. Введен впервые.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1"/>
      </w:pPr>
      <w:r>
        <w:t>1. Область применения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 xml:space="preserve">Настоящий стандарт распространяется на материалы - краски (эмали) и пластичные материалы, применяемые для устройства разметки проезжей части автомобильных дорог и улиц с усовершенствованным покрытием по </w:t>
      </w:r>
      <w:hyperlink r:id="rId7" w:history="1">
        <w:r>
          <w:rPr>
            <w:color w:val="0000FF"/>
          </w:rPr>
          <w:t>ГОСТ Р 51256</w:t>
        </w:r>
      </w:hyperlink>
      <w:r>
        <w:t xml:space="preserve"> (далее - дорожная разметка) и устанавливает технические требования к материалам для дорожной разметки.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1"/>
      </w:pPr>
      <w:r>
        <w:lastRenderedPageBreak/>
        <w:t>2. Нормативные ссылки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ГОСТ Р 51256-99</w:t>
        </w:r>
      </w:hyperlink>
      <w:r>
        <w:t>. Технические средства организации дорожного движения. Разметка дорожная. Типы и основные параметры. Общие технические требования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ГОСТ Р 52576-2006</w:t>
        </w:r>
      </w:hyperlink>
      <w:r>
        <w:t>. Дороги автомобильные общего пользования. Материалы для дорожной разметки. Методы испытаний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ГОСТ 12.1.004-91</w:t>
        </w:r>
      </w:hyperlink>
      <w:r>
        <w:t>. Система стандартов безопасности труда. Пожарная безопасность. Общие требования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ГОСТ 12.1.005-88</w:t>
        </w:r>
      </w:hyperlink>
      <w:r>
        <w:t>. Система стандартов безопасности труда. Общие санитарно-гигиенические требования к воздуху рабочей зоны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ГОСТ 12.1.010-76</w:t>
        </w:r>
      </w:hyperlink>
      <w:r>
        <w:t>. Система стандартов безопасности труда. Взрывобезопасность. Общие требования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12.1.018-93</w:t>
        </w:r>
      </w:hyperlink>
      <w:r>
        <w:t>. Система стандартов безопасности труда. Пожаровзрывоопасность статического электричества. Общие требования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ГОСТ 12.3.005-75</w:t>
        </w:r>
      </w:hyperlink>
      <w:r>
        <w:t>. Система стандартов безопасности труда. Работы окрасочные. Общие требования безопасности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ГОСТ 12.4.011-89</w:t>
        </w:r>
      </w:hyperlink>
      <w:r>
        <w:t>. Система стандартов безопасности труда. Средства защиты работающих. Общие требования и классификация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ГОСТ 12.4.103-83</w:t>
        </w:r>
      </w:hyperlink>
      <w:r>
        <w:t>. Система стандартов безопасности труда. Одежда специальная защитная, средства индивидуальной защиты ног и рук. Классификация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ГОСТ 9980.3-86</w:t>
        </w:r>
      </w:hyperlink>
      <w:r>
        <w:t>. Материалы лакокрасочные. Упаковка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ГОСТ 14192-96</w:t>
        </w:r>
      </w:hyperlink>
      <w:r>
        <w:t>. Маркировка грузов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ГОСТ 19433-88</w:t>
        </w:r>
      </w:hyperlink>
      <w:r>
        <w:t>. Грузы опасные. Классификация и маркировка</w:t>
      </w:r>
    </w:p>
    <w:p w:rsidR="008222FA" w:rsidRDefault="008222F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ГОСТ 21140-88</w:t>
        </w:r>
      </w:hyperlink>
      <w:r>
        <w:t>. Тара. Система размеров.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1"/>
      </w:pPr>
      <w:r>
        <w:t>3. Термины, определения, обозначения и сокращения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3.1. В настоящем стандарте применяют следующие термины с соответствующими определениями: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3.1.1. Материалы для дорожной разметки: материалы, предназначенные для нанесения </w:t>
      </w:r>
      <w:r>
        <w:lastRenderedPageBreak/>
        <w:t>дорожной разметки на автомобильных дорогах и улицах с усовершенствованным покрытием.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Примечание. После нанесения и высыхания (отверждения) материалов определяют эксплуатационные свойства дорожной разметки.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3.1.2. Краска (эмаль) для дорожной разметки автомобильных дорог: суспензия высокодисперсных пигментов и наполнителей в растворах полимеров в органических растворителях, образующая после нанесения на дорожное покрытие и испарения растворителя твердую непрозрачную пленку, соответствующую требованиям, предъявляемым к дорожной разметке.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3.1.3. Термопластик для дорожной разметки автомобильных дорог: терморазмягчаемый пластичный материал на основе полимерного связующего, содержащий пигменты и наполнители, в виде порошковой смеси компонентов или литых объемных форм (блоки или гранулы из остывшего расплава), образующий после отверждения твердые непрозрачные элементы дорожной разметки.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3.1.4. Холодный пластик для дорожной разметки автомобильных дорог: многокомпонентный пластичный материал на основе полимерного связующего, содержащий пигменты и наполнители, отверждаемый в результате химической реакции и образующий после отверждения твердые непрозрачные элементы дорожной разметки.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3.1.5. Класс разметочного материала: характеристика материала для разметки дорог, определяющая его свойства по нормируемому параметру.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Примечание. Класс разметочного материала состоит из буквенного обозначения и цифр, определяющих группу требований по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3.2. В настоящем стандарте применяют следующие сокращения и обозначения классов разметочных материалов: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АС - по адгезии высохшей пленки краски (эмали) к стеклу;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В - по коэффициенту яркости высушенной пленки краски (эмали), отвердевшего расплава термопластика и холодного пластика;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ВВ - по времени высыхания краски (эмали);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ВТ - по времени отверждения термопластика и холодного пластика;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НВ - по массовой доле нелетучих веществ в краске (эмали);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ПК - по плотности краски (эмали);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ПП - по плотности отвержденных термопластика и холодного пластика;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СП - по степени перетира краски (эмали);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ТР - по температуре размягчения термопластика;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УВ - по условной вязкости краски (эмали);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x, y - координаты цветности.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1"/>
      </w:pPr>
      <w:r>
        <w:t>4. Классификация материалов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 xml:space="preserve">4.1. Материалы для дорожной разметки автомобильных дорог классифицируются на </w:t>
      </w:r>
      <w:r>
        <w:lastRenderedPageBreak/>
        <w:t>следующие типы: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краски (эмали);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пластичные материалы.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4.2. Пластичные материалы классифицируются по способу отверждения: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термопластики;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холодные пластики.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1"/>
      </w:pPr>
      <w:r>
        <w:t>5. Технические требования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  <w:outlineLvl w:val="2"/>
      </w:pPr>
      <w:r>
        <w:t>5.1. Требования к краскам (эмалям) для дорожной разметки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5.1.1. Координаты цветности высушенной пленки красок (эмалей), отвердевших термопластиков и холодных пластиков должны соответствовать значениям, указанным в таблице 1.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bookmarkStart w:id="0" w:name="P98"/>
      <w:bookmarkEnd w:id="0"/>
      <w:r>
        <w:t>Таблица 1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560"/>
        <w:gridCol w:w="1440"/>
        <w:gridCol w:w="1320"/>
        <w:gridCol w:w="1440"/>
        <w:gridCol w:w="1320"/>
      </w:tblGrid>
      <w:tr w:rsidR="008222FA">
        <w:trPr>
          <w:trHeight w:val="240"/>
        </w:trPr>
        <w:tc>
          <w:tcPr>
            <w:tcW w:w="1440" w:type="dxa"/>
            <w:vMerge w:val="restart"/>
          </w:tcPr>
          <w:p w:rsidR="008222FA" w:rsidRDefault="008222FA">
            <w:pPr>
              <w:pStyle w:val="ConsPlusNonformat"/>
              <w:jc w:val="both"/>
            </w:pPr>
            <w:r>
              <w:t xml:space="preserve">   Цвет   </w:t>
            </w:r>
          </w:p>
        </w:tc>
        <w:tc>
          <w:tcPr>
            <w:tcW w:w="1560" w:type="dxa"/>
            <w:vMerge w:val="restart"/>
          </w:tcPr>
          <w:p w:rsidR="008222FA" w:rsidRDefault="008222FA">
            <w:pPr>
              <w:pStyle w:val="ConsPlusNonformat"/>
              <w:jc w:val="both"/>
            </w:pPr>
            <w:r>
              <w:t>Обозначение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координат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цветности </w:t>
            </w:r>
          </w:p>
        </w:tc>
        <w:tc>
          <w:tcPr>
            <w:tcW w:w="5520" w:type="dxa"/>
            <w:gridSpan w:val="4"/>
          </w:tcPr>
          <w:p w:rsidR="008222FA" w:rsidRDefault="008222FA">
            <w:pPr>
              <w:pStyle w:val="ConsPlusNonformat"/>
              <w:jc w:val="both"/>
            </w:pPr>
            <w:r>
              <w:t xml:space="preserve">  Координаты угловых точек с 1-й по 4-ю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цветовую область дорожной разметки    </w:t>
            </w:r>
          </w:p>
        </w:tc>
      </w:tr>
      <w:tr w:rsidR="008222FA">
        <w:tc>
          <w:tcPr>
            <w:tcW w:w="1320" w:type="dxa"/>
            <w:vMerge/>
            <w:tcBorders>
              <w:top w:val="nil"/>
            </w:tcBorders>
          </w:tcPr>
          <w:p w:rsidR="008222FA" w:rsidRDefault="008222FA"/>
        </w:tc>
        <w:tc>
          <w:tcPr>
            <w:tcW w:w="1440" w:type="dxa"/>
            <w:vMerge/>
            <w:tcBorders>
              <w:top w:val="nil"/>
            </w:tcBorders>
          </w:tcPr>
          <w:p w:rsidR="008222FA" w:rsidRDefault="008222FA"/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4    </w:t>
            </w:r>
          </w:p>
        </w:tc>
      </w:tr>
      <w:tr w:rsidR="008222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Белый     </w:t>
            </w:r>
          </w:p>
        </w:tc>
        <w:tc>
          <w:tcPr>
            <w:tcW w:w="15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x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y     </w:t>
            </w:r>
          </w:p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0,355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0,355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0,305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0,305  </w:t>
            </w:r>
          </w:p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0,285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0,325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0,335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0,375  </w:t>
            </w:r>
          </w:p>
        </w:tc>
      </w:tr>
      <w:tr w:rsidR="008222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Желтый    </w:t>
            </w:r>
          </w:p>
        </w:tc>
        <w:tc>
          <w:tcPr>
            <w:tcW w:w="15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x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y     </w:t>
            </w:r>
          </w:p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0,443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0,399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0,545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0,455  </w:t>
            </w:r>
          </w:p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0,465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0,535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0,389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0,431  </w:t>
            </w:r>
          </w:p>
        </w:tc>
      </w:tr>
      <w:tr w:rsidR="008222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Оранжевый </w:t>
            </w:r>
          </w:p>
        </w:tc>
        <w:tc>
          <w:tcPr>
            <w:tcW w:w="15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x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y     </w:t>
            </w:r>
          </w:p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0,506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0,404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0,570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0,429  </w:t>
            </w:r>
          </w:p>
        </w:tc>
        <w:tc>
          <w:tcPr>
            <w:tcW w:w="14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0,610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0,390   </w:t>
            </w:r>
          </w:p>
        </w:tc>
        <w:tc>
          <w:tcPr>
            <w:tcW w:w="1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0,585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0,375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5.1.2. Коэффициент яркости высушенной пленки красок (эмалей), отвердевших термопластиков и холодных пластиков должен соответствовать значениям, указанным в таблице 2,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bookmarkStart w:id="1" w:name="P118"/>
      <w:bookmarkEnd w:id="1"/>
      <w:r>
        <w:t>Таблица 2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Cell"/>
        <w:jc w:val="both"/>
      </w:pPr>
      <w:r>
        <w:t>┌─────────────┬────────────────────┬─────────────────────────────┐</w:t>
      </w:r>
    </w:p>
    <w:p w:rsidR="008222FA" w:rsidRDefault="008222FA">
      <w:pPr>
        <w:pStyle w:val="ConsPlusCell"/>
        <w:jc w:val="both"/>
      </w:pPr>
      <w:r>
        <w:t>│    Цвет     │ Класс разметочного │Коэффициент яркости бета , % │</w:t>
      </w:r>
    </w:p>
    <w:p w:rsidR="008222FA" w:rsidRDefault="008222FA">
      <w:pPr>
        <w:pStyle w:val="ConsPlusCell"/>
        <w:jc w:val="both"/>
      </w:pPr>
      <w:r>
        <w:t>│             │     материала      │                        v    │</w:t>
      </w:r>
    </w:p>
    <w:p w:rsidR="008222FA" w:rsidRDefault="008222FA">
      <w:pPr>
        <w:pStyle w:val="ConsPlusCell"/>
        <w:jc w:val="both"/>
      </w:pPr>
      <w:r>
        <w:t>├─────────────┼────────────────────┼─────────────────────────────┤</w:t>
      </w:r>
    </w:p>
    <w:p w:rsidR="008222FA" w:rsidRDefault="008222FA">
      <w:pPr>
        <w:pStyle w:val="ConsPlusCell"/>
        <w:jc w:val="both"/>
      </w:pPr>
      <w:r>
        <w:t>│Белый        │         В6         │           70 - 79           │</w:t>
      </w:r>
    </w:p>
    <w:p w:rsidR="008222FA" w:rsidRDefault="008222FA">
      <w:pPr>
        <w:pStyle w:val="ConsPlusCell"/>
        <w:jc w:val="both"/>
      </w:pPr>
      <w:r>
        <w:t>│             │         В7         │           Более 80          │</w:t>
      </w:r>
    </w:p>
    <w:p w:rsidR="008222FA" w:rsidRDefault="008222FA">
      <w:pPr>
        <w:pStyle w:val="ConsPlusCell"/>
        <w:jc w:val="both"/>
      </w:pPr>
      <w:r>
        <w:t>├─────────────┼────────────────────┼─────────────────────────────┤</w:t>
      </w:r>
    </w:p>
    <w:p w:rsidR="008222FA" w:rsidRDefault="008222FA">
      <w:pPr>
        <w:pStyle w:val="ConsPlusCell"/>
        <w:jc w:val="both"/>
      </w:pPr>
      <w:r>
        <w:t>│Желтый       │         В3         │           40 - 49           │</w:t>
      </w:r>
    </w:p>
    <w:p w:rsidR="008222FA" w:rsidRDefault="008222FA">
      <w:pPr>
        <w:pStyle w:val="ConsPlusCell"/>
        <w:jc w:val="both"/>
      </w:pPr>
      <w:r>
        <w:t>│             │         В4         │           50 - 59           │</w:t>
      </w:r>
    </w:p>
    <w:p w:rsidR="008222FA" w:rsidRDefault="008222FA">
      <w:pPr>
        <w:pStyle w:val="ConsPlusCell"/>
        <w:jc w:val="both"/>
      </w:pPr>
      <w:r>
        <w:t>├─────────────┼────────────────────┼─────────────────────────────┤</w:t>
      </w:r>
    </w:p>
    <w:p w:rsidR="008222FA" w:rsidRDefault="008222FA">
      <w:pPr>
        <w:pStyle w:val="ConsPlusCell"/>
        <w:jc w:val="both"/>
      </w:pPr>
      <w:r>
        <w:t>│Оранжевый    │         В2         │           30 - 39           │</w:t>
      </w:r>
    </w:p>
    <w:p w:rsidR="008222FA" w:rsidRDefault="008222FA">
      <w:pPr>
        <w:pStyle w:val="ConsPlusCell"/>
        <w:jc w:val="both"/>
      </w:pPr>
      <w:r>
        <w:t>│             │         В3         │           40 - 49           │</w:t>
      </w:r>
    </w:p>
    <w:p w:rsidR="008222FA" w:rsidRDefault="008222FA">
      <w:pPr>
        <w:pStyle w:val="ConsPlusCell"/>
        <w:jc w:val="both"/>
      </w:pPr>
      <w:r>
        <w:t>└─────────────┴────────────────────┴─────────────────────────────┘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5.1.3. Плотность красок (эмалей) должна соответствовать значениям, указанным в таблице 3,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lastRenderedPageBreak/>
        <w:t>Таблица 3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3960"/>
      </w:tblGrid>
      <w:tr w:rsidR="008222FA">
        <w:trPr>
          <w:trHeight w:val="240"/>
        </w:trPr>
        <w:tc>
          <w:tcPr>
            <w:tcW w:w="408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Класс разметочного материала  </w:t>
            </w:r>
          </w:p>
        </w:tc>
        <w:tc>
          <w:tcPr>
            <w:tcW w:w="396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      Плотность, г/см3       </w:t>
            </w:r>
          </w:p>
        </w:tc>
      </w:tr>
      <w:tr w:rsidR="008222FA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ПК1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ПК2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ПК3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Более 1,6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1,4 - 1,6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Менее 1,4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5.1.4. Условная вязкость красок (эмалей) должна соответствовать значениям, указанным в таблице 4,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t>Таблица 4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3960"/>
      </w:tblGrid>
      <w:tr w:rsidR="008222FA">
        <w:trPr>
          <w:trHeight w:val="240"/>
        </w:trPr>
        <w:tc>
          <w:tcPr>
            <w:tcW w:w="408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Класс разметочного материала  </w:t>
            </w:r>
          </w:p>
        </w:tc>
        <w:tc>
          <w:tcPr>
            <w:tcW w:w="396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   Условная вязкость, с      </w:t>
            </w:r>
          </w:p>
        </w:tc>
      </w:tr>
      <w:tr w:rsidR="008222FA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УВ1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УВ2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УВ3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Более 200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120 - 200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40 - 119 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5.1.5. Степень перетира красок (эмалей) должна соответствовать значениям, указанным в таблице 5,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t>Таблица 5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3960"/>
      </w:tblGrid>
      <w:tr w:rsidR="008222FA">
        <w:trPr>
          <w:trHeight w:val="240"/>
        </w:trPr>
        <w:tc>
          <w:tcPr>
            <w:tcW w:w="408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Класс разметочного материала  </w:t>
            </w:r>
          </w:p>
        </w:tc>
        <w:tc>
          <w:tcPr>
            <w:tcW w:w="396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   Степень перетира, мкм     </w:t>
            </w:r>
          </w:p>
        </w:tc>
      </w:tr>
      <w:tr w:rsidR="008222FA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СП1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СП2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50 - 100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Менее 50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5.1.6. Массовая доля нелетучих веществ красок (эмалей) должна соответствовать значениям, указанным в таблице 6,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t>Таблица 6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720"/>
        <w:gridCol w:w="4320"/>
      </w:tblGrid>
      <w:tr w:rsidR="008222FA">
        <w:trPr>
          <w:trHeight w:val="240"/>
        </w:trPr>
        <w:tc>
          <w:tcPr>
            <w:tcW w:w="372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Класс разметочного материала </w:t>
            </w:r>
          </w:p>
        </w:tc>
        <w:tc>
          <w:tcPr>
            <w:tcW w:w="4320" w:type="dxa"/>
          </w:tcPr>
          <w:p w:rsidR="008222FA" w:rsidRDefault="008222FA">
            <w:pPr>
              <w:pStyle w:val="ConsPlusNonformat"/>
              <w:jc w:val="both"/>
            </w:pPr>
            <w:r>
              <w:t>Массовая доля нелетучих веществ, %</w:t>
            </w:r>
          </w:p>
        </w:tc>
      </w:tr>
      <w:tr w:rsidR="008222FA">
        <w:trPr>
          <w:trHeight w:val="240"/>
        </w:trPr>
        <w:tc>
          <w:tcPr>
            <w:tcW w:w="37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НВ1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НВ2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НВ3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60 - 69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70 - 79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Более 80 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5.1.7. Время высыхания красок (эмалей) до степени 3 должно соответствовать значениям, указанным в таблице 7,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t>Таблица 7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840"/>
        <w:gridCol w:w="4200"/>
      </w:tblGrid>
      <w:tr w:rsidR="008222FA">
        <w:trPr>
          <w:trHeight w:val="240"/>
        </w:trPr>
        <w:tc>
          <w:tcPr>
            <w:tcW w:w="384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Класс разметочного материала </w:t>
            </w:r>
          </w:p>
        </w:tc>
        <w:tc>
          <w:tcPr>
            <w:tcW w:w="4200" w:type="dxa"/>
          </w:tcPr>
          <w:p w:rsidR="008222FA" w:rsidRDefault="008222FA">
            <w:pPr>
              <w:pStyle w:val="ConsPlusNonformat"/>
              <w:jc w:val="both"/>
            </w:pPr>
            <w:r>
              <w:t>Время высыхания до степени 3, мин</w:t>
            </w:r>
          </w:p>
        </w:tc>
      </w:tr>
      <w:tr w:rsidR="008222FA">
        <w:trPr>
          <w:trHeight w:val="240"/>
        </w:trPr>
        <w:tc>
          <w:tcPr>
            <w:tcW w:w="384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ВВ1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ВВ2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ВВ3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ВВ4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45 - 60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31 - 44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15 - 30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Менее 15 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5.1.8. Высохшая пленка красок (эмалей) должна быть стойкой (не менее 48 ч) к статическому воздействию: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lastRenderedPageBreak/>
        <w:t>- 3%-ного водного раствора хлорида натрия при температуре (0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насыщенного водного раствора хлорида натрия при температуре (0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воды при температуре (20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- 10%-ного водного раствора щелочи гидроксида натрия при температуре (20 +/- 2) °C.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Стойкость к статическому воздействию 10%-ного водного раствора щелочи гидроксида натрия устанавливается для красок (эмалей), предназначенных для разметки автомобильных дорог с цементно-бетонным покрытием.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5.1.9. Адгезия высохшей пленки красок (эмалей) к стеклу должна соответствовать значениям, указанным в таблице 8,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t>Таблица 8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3960"/>
      </w:tblGrid>
      <w:tr w:rsidR="008222FA">
        <w:trPr>
          <w:trHeight w:val="240"/>
        </w:trPr>
        <w:tc>
          <w:tcPr>
            <w:tcW w:w="408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Класс разметочного материала  </w:t>
            </w:r>
          </w:p>
        </w:tc>
        <w:tc>
          <w:tcPr>
            <w:tcW w:w="396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       Адгезия, баллы        </w:t>
            </w:r>
          </w:p>
        </w:tc>
      </w:tr>
      <w:tr w:rsidR="008222FA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АС1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АС2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АС3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 3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 2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  <w:outlineLvl w:val="2"/>
      </w:pPr>
      <w:r>
        <w:t>5.2. Требования к термопластикам для дорожной разметки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5.2.1. Координаты цветности отвердевших термопластиков должны соответствовать значениям, указанным в </w:t>
      </w:r>
      <w:hyperlink w:anchor="P98" w:history="1">
        <w:r>
          <w:rPr>
            <w:color w:val="0000FF"/>
          </w:rPr>
          <w:t>таблице 1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5.2.2. Коэффициент яркости отвердевших термопластиков должен соответствовать значениям, указанным в </w:t>
      </w:r>
      <w:hyperlink w:anchor="P118" w:history="1">
        <w:r>
          <w:rPr>
            <w:color w:val="0000FF"/>
          </w:rPr>
          <w:t>таблице 2</w:t>
        </w:r>
      </w:hyperlink>
      <w:r>
        <w:t>, с учетом класса, определяющего требования к данному параметру.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5.2.3. Плотность отвердевшего расплава термопластиков и холодных пластиков должна соответствовать значениям, указанным в таблице 9,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bookmarkStart w:id="2" w:name="P217"/>
      <w:bookmarkEnd w:id="2"/>
      <w:r>
        <w:t>Таблица 9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3960"/>
      </w:tblGrid>
      <w:tr w:rsidR="008222FA">
        <w:trPr>
          <w:trHeight w:val="240"/>
        </w:trPr>
        <w:tc>
          <w:tcPr>
            <w:tcW w:w="408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Класс разметочного материала  </w:t>
            </w:r>
          </w:p>
        </w:tc>
        <w:tc>
          <w:tcPr>
            <w:tcW w:w="396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     Плотность, г/см3        </w:t>
            </w:r>
          </w:p>
        </w:tc>
      </w:tr>
      <w:tr w:rsidR="008222FA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ПП1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ПП2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ПП3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Более 2,1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1,9 - 2,1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Менее 1,9 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5.2.4. Температура размягчения термопластиков должна соответствовать значениям, указанным в таблице 10,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r>
        <w:t>Таблица 10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3960"/>
      </w:tblGrid>
      <w:tr w:rsidR="008222FA">
        <w:trPr>
          <w:trHeight w:val="240"/>
        </w:trPr>
        <w:tc>
          <w:tcPr>
            <w:tcW w:w="408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Класс разметочного материала  </w:t>
            </w:r>
          </w:p>
        </w:tc>
        <w:tc>
          <w:tcPr>
            <w:tcW w:w="396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Температура размягчения, °C  </w:t>
            </w:r>
          </w:p>
        </w:tc>
      </w:tr>
      <w:tr w:rsidR="008222FA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ТР1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ТР2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ТР3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80 - 94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95 - 110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Более 110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 xml:space="preserve">5.2.5. Время отверждения термопластиков и холодных пластиков должно соответствовать </w:t>
      </w:r>
      <w:r>
        <w:lastRenderedPageBreak/>
        <w:t>значениям, указанным в таблице 11, с учетом класса, определяющего требования к данному параметру.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right"/>
      </w:pPr>
      <w:bookmarkStart w:id="3" w:name="P241"/>
      <w:bookmarkEnd w:id="3"/>
      <w:r>
        <w:t>Таблица 11</w:t>
      </w:r>
    </w:p>
    <w:p w:rsidR="008222FA" w:rsidRDefault="008222FA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080"/>
        <w:gridCol w:w="3960"/>
      </w:tblGrid>
      <w:tr w:rsidR="008222FA">
        <w:trPr>
          <w:trHeight w:val="240"/>
        </w:trPr>
        <w:tc>
          <w:tcPr>
            <w:tcW w:w="408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Класс разметочного материала  </w:t>
            </w:r>
          </w:p>
        </w:tc>
        <w:tc>
          <w:tcPr>
            <w:tcW w:w="3960" w:type="dxa"/>
          </w:tcPr>
          <w:p w:rsidR="008222FA" w:rsidRDefault="008222FA">
            <w:pPr>
              <w:pStyle w:val="ConsPlusNonformat"/>
              <w:jc w:val="both"/>
            </w:pPr>
            <w:r>
              <w:t xml:space="preserve">    Время отверждения, мин     </w:t>
            </w:r>
          </w:p>
        </w:tc>
      </w:tr>
      <w:tr w:rsidR="008222FA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   ВТ1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ВТ2 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  ВТ3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8222FA" w:rsidRDefault="008222FA">
            <w:pPr>
              <w:pStyle w:val="ConsPlusNonformat"/>
              <w:jc w:val="both"/>
            </w:pPr>
            <w:r>
              <w:t xml:space="preserve">           10 - 20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 5 - 9              </w:t>
            </w:r>
          </w:p>
          <w:p w:rsidR="008222FA" w:rsidRDefault="008222FA">
            <w:pPr>
              <w:pStyle w:val="ConsPlusNonformat"/>
              <w:jc w:val="both"/>
            </w:pPr>
            <w:r>
              <w:t xml:space="preserve">           Менее 5             </w:t>
            </w:r>
          </w:p>
        </w:tc>
      </w:tr>
    </w:tbl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r>
        <w:t>5.2.6. Отвердевшие термопластики должны быть стойкими (не менее 72 ч) к статическому воздействию: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- 3%-ного водного раствора хлорида натрия при температуре (0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насыщенного водного раствора хлорида натрия при температуре (0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воды при температуре (20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- 10%-ного водного раствора щелочи гидроксида натрия при температуре (20 +/- 2) °C.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Стойкость к статическому воздействию 10%-ного водного раствора щелочи гидроксида натрия устанавливается для отвердевших термопластиков, предназначенных для разметки автомобильных дорог с цементобетонным покрытием.</w:t>
      </w:r>
    </w:p>
    <w:p w:rsidR="008222FA" w:rsidRDefault="008222FA">
      <w:pPr>
        <w:pStyle w:val="ConsPlusNormal"/>
        <w:spacing w:before="220"/>
        <w:ind w:firstLine="540"/>
        <w:jc w:val="both"/>
        <w:outlineLvl w:val="2"/>
      </w:pPr>
      <w:r>
        <w:t>5.3. Требования к холодным пластикам для дорожной разметки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5.3.1. Координаты цветности отвердевших холодных пластиков должны соответствовать значениям, указанным в </w:t>
      </w:r>
      <w:hyperlink w:anchor="P98" w:history="1">
        <w:r>
          <w:rPr>
            <w:color w:val="0000FF"/>
          </w:rPr>
          <w:t>таблице 1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5.3.2. Коэффициент яркости отвердевших холодных пластиков должен соответствовать значениям, указанным в </w:t>
      </w:r>
      <w:hyperlink w:anchor="P118" w:history="1">
        <w:r>
          <w:rPr>
            <w:color w:val="0000FF"/>
          </w:rPr>
          <w:t>таблице 2</w:t>
        </w:r>
      </w:hyperlink>
      <w:r>
        <w:t>, с учетом класса, определяющего требования к данному параметру.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5.3.3. Плотность отвердевших холодных пластиков должна соответствовать значениям, указанным в </w:t>
      </w:r>
      <w:hyperlink w:anchor="P217" w:history="1">
        <w:r>
          <w:rPr>
            <w:color w:val="0000FF"/>
          </w:rPr>
          <w:t>таблице 9</w:t>
        </w:r>
      </w:hyperlink>
      <w:r>
        <w:t>, с учетом класса, определяющего требования к данному параметру.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5.3.4. Время отверждения холодных пластиков должно соответствовать значениям, указанным в </w:t>
      </w:r>
      <w:hyperlink w:anchor="P241" w:history="1">
        <w:r>
          <w:rPr>
            <w:color w:val="0000FF"/>
          </w:rPr>
          <w:t>таблице 11</w:t>
        </w:r>
      </w:hyperlink>
      <w:r>
        <w:t>, с учетом класса, определяющего требования к данному параметру.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5.3.5. Отвердевший холодный пластик должен быть стойким (не менее 72 ч) к статическому воздействию: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- 3%-ного водного раствора хлорида натрия при температуре (0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насыщенного водного раствора хлорида натрия при температуре (0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воды при температуре (20 +/- 2) °C;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- 10%-ного водного раствора щелочи гидроксида натрия при температуре (20 +/- 2) °C.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Стойкость к статическому воздействию 10%-ного водного раствора щелочи гидроксида натрия устанавливается для отвердевших холодных пластиков, предназначенных для разметки автомобильных дорог с цементобетонным покрытием.</w:t>
      </w:r>
    </w:p>
    <w:p w:rsidR="008222FA" w:rsidRDefault="008222FA">
      <w:pPr>
        <w:pStyle w:val="ConsPlusNormal"/>
        <w:spacing w:before="220"/>
        <w:ind w:firstLine="540"/>
        <w:jc w:val="both"/>
        <w:outlineLvl w:val="2"/>
      </w:pPr>
      <w:r>
        <w:t>5.4. Требования к комплектности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lastRenderedPageBreak/>
        <w:t>5.4.1. Материалы для дорожной разметки должны поставляться с сопроводительной документацией производителя, содержащей: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паспорт с основными характеристиками материала (со ссылкой на стандарт организации или другой нормативный документ);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данные по количеству и фракционному составу световозвращающих элементов (при их наличии в составе материала);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инструкцию по технологии применения материала, в которой отражают правила проведения работ;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правила техники безопасности, правила транспортировки и хранения материала;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экологический (гигиенический) сертификат или другой документ, подтверждающий экологическую (гигиеническую) безопасность материала.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5.4.2. При комплектовании материалов для дорожной разметки рецептурным растворителем и/или световозвращающими элементами информация о них должна быть отражена в сопроводительной документации на материал для дорожной разметки.</w:t>
      </w:r>
    </w:p>
    <w:p w:rsidR="008222FA" w:rsidRDefault="008222FA">
      <w:pPr>
        <w:pStyle w:val="ConsPlusNormal"/>
        <w:spacing w:before="220"/>
        <w:ind w:firstLine="540"/>
        <w:jc w:val="both"/>
        <w:outlineLvl w:val="2"/>
      </w:pPr>
      <w:r>
        <w:t>5.5. Требования к маркировке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5.5.1. Маркировка должна быть нанесена на потребительскую и транспортную тару непосредственно или в виде этикетки в соответствии с </w:t>
      </w:r>
      <w:hyperlink r:id="rId21" w:history="1">
        <w:r>
          <w:rPr>
            <w:color w:val="0000FF"/>
          </w:rPr>
          <w:t>ГОСТ 14192</w:t>
        </w:r>
      </w:hyperlink>
      <w:r>
        <w:t xml:space="preserve"> и </w:t>
      </w:r>
      <w:hyperlink r:id="rId22" w:history="1">
        <w:r>
          <w:rPr>
            <w:color w:val="0000FF"/>
          </w:rPr>
          <w:t>ГОСТ 19433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5.5.2. Маркировка должна быть выполнена типографской печатью либо другим способом, обеспечивающим сохранность маркировки в течение срока хранения материала.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5.5.3. Маркировка материалов для дорожной разметки должна содержать следующие данные: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наименование страны-изготовителя;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наименование предприятия-изготовителя;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область применения;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правила и условия безопасного хранения и транспортировки;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юридический адрес предприятия-изготовителя;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массу нетто;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массу брутто;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товарный знак предприятия-изготовителя;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дату изготовления;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номер партии;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срок годности;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- обозначение нормативного документа, по которому изготавливается продукция.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lastRenderedPageBreak/>
        <w:t xml:space="preserve">5.5.4. На транспортную тару, предназначенную для красок (эмалей) и холодных пластиков, должен быть нанесен манипуляционный знак "Боится нагрева" по </w:t>
      </w:r>
      <w:hyperlink r:id="rId23" w:history="1">
        <w:r>
          <w:rPr>
            <w:color w:val="0000FF"/>
          </w:rPr>
          <w:t>ГОСТ 14192</w:t>
        </w:r>
      </w:hyperlink>
      <w:r>
        <w:t xml:space="preserve">, знак опасности "Легковоспламеняющаяся жидкость", классификационный шифр - 3212 и класс опасности 3 по </w:t>
      </w:r>
      <w:hyperlink r:id="rId24" w:history="1">
        <w:r>
          <w:rPr>
            <w:color w:val="0000FF"/>
          </w:rPr>
          <w:t>ГОСТ 19433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  <w:outlineLvl w:val="2"/>
      </w:pPr>
      <w:r>
        <w:t>5.6. Требования к упаковке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5.6.1. Упаковка для красок (эмалей) и пластиков должна соответствовать </w:t>
      </w:r>
      <w:hyperlink r:id="rId25" w:history="1">
        <w:r>
          <w:rPr>
            <w:color w:val="0000FF"/>
          </w:rPr>
          <w:t>ГОСТ 9980.3</w:t>
        </w:r>
      </w:hyperlink>
      <w:r>
        <w:t xml:space="preserve"> с учетом унификации размеров транспортной тары в соответствии с </w:t>
      </w:r>
      <w:hyperlink r:id="rId26" w:history="1">
        <w:r>
          <w:rPr>
            <w:color w:val="0000FF"/>
          </w:rPr>
          <w:t>ГОСТ 21140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  <w:outlineLvl w:val="2"/>
      </w:pPr>
      <w:r>
        <w:t>5.7. Требования к транспортированию и хранению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5.7.1. Материалы для дорожной разметки должны соответствовать требованиям их транспортирования автомобильным, железнодорожным и водным транспортом.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В отдельных случаях материалы для дорожной разметки должны соответствовать требованиям транспортирования воздушным транспортом.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5.7.2. При транспортировании и хранении материалов для дорожной разметки должны соблюдаться требования, устанавливаемые предприятием-изготовителем в сопроводительной документации на материал и отраженные в маркировке.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5.7.3. Хранить и транспортировать исходные материалы и готовые разметочные материалы должны в условно герметичной таре.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5.7.4. Срок хранения красок (эмалей), применяемых для дорожной разметки, должен быть не менее 6 мес со дня изготовления.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5.7.5. Срок хранения термопластиков и холодных пластиков, применяемых для дорожной разметки, должен быть не менее 12 мес со дня изготовления.</w:t>
      </w:r>
    </w:p>
    <w:p w:rsidR="008222FA" w:rsidRDefault="008222FA">
      <w:pPr>
        <w:pStyle w:val="ConsPlusNormal"/>
        <w:spacing w:before="220"/>
        <w:ind w:firstLine="540"/>
        <w:jc w:val="both"/>
        <w:outlineLvl w:val="2"/>
      </w:pPr>
      <w:r>
        <w:t>5.8. Требования к методам испытаний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5.8.1. Испытания материалов для дорожной разметки проводят в соответствии с требованиями </w:t>
      </w:r>
      <w:hyperlink r:id="rId27" w:history="1">
        <w:r>
          <w:rPr>
            <w:color w:val="0000FF"/>
          </w:rPr>
          <w:t>ГОСТ Р 52576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  <w:outlineLvl w:val="2"/>
      </w:pPr>
      <w:r>
        <w:t>5.9. Требования по безопасности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>5.9.1. В сопроводительной документации на каждую партию материалов для дорожной разметки должны быть отражены правила (требования) пожаро- и взрывобезопасности.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5.9.2. При применении красок (эмалей) и пластичных материалов для дорожной разметки содержание вредных веществ в воздухе рабочей зоны должно соответствовать требованиям </w:t>
      </w:r>
      <w:hyperlink w:anchor="P319" w:history="1">
        <w:r>
          <w:rPr>
            <w:color w:val="0000FF"/>
          </w:rPr>
          <w:t>[1]</w:t>
        </w:r>
      </w:hyperlink>
      <w:r>
        <w:t xml:space="preserve">, </w:t>
      </w:r>
      <w:hyperlink r:id="rId28" w:history="1">
        <w:r>
          <w:rPr>
            <w:color w:val="0000FF"/>
          </w:rPr>
          <w:t>ГОСТ 12.1.005</w:t>
        </w:r>
      </w:hyperlink>
      <w:r>
        <w:t xml:space="preserve">, </w:t>
      </w:r>
      <w:hyperlink r:id="rId29" w:history="1">
        <w:r>
          <w:rPr>
            <w:color w:val="0000FF"/>
          </w:rPr>
          <w:t>ГОСТ 12.3.005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5.9.3. Показатели пожаро- и взрывобезопасности материалов для дорожной разметки определяют в соответствии с </w:t>
      </w:r>
      <w:hyperlink r:id="rId30" w:history="1">
        <w:r>
          <w:rPr>
            <w:color w:val="0000FF"/>
          </w:rPr>
          <w:t>ГОСТ 12.1.044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5.9.4. Пожаро-, взрывобезопасность при применении маркировочных материалов должна обеспечиваться системами защиты и предотвращения пожара, организационно-техническими мероприятиями в соответствии с </w:t>
      </w:r>
      <w:hyperlink r:id="rId31" w:history="1">
        <w:r>
          <w:rPr>
            <w:color w:val="0000FF"/>
          </w:rPr>
          <w:t>ГОСТ 12.1.004</w:t>
        </w:r>
      </w:hyperlink>
      <w:r>
        <w:t xml:space="preserve">, </w:t>
      </w:r>
      <w:hyperlink r:id="rId32" w:history="1">
        <w:r>
          <w:rPr>
            <w:color w:val="0000FF"/>
          </w:rPr>
          <w:t>ГОСТ 12.1.010</w:t>
        </w:r>
      </w:hyperlink>
      <w:r>
        <w:t xml:space="preserve">, </w:t>
      </w:r>
      <w:hyperlink r:id="rId33" w:history="1">
        <w:r>
          <w:rPr>
            <w:color w:val="0000FF"/>
          </w:rPr>
          <w:t>ГОСТ 12.1.018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5.9.5. Периодичность контроля за содержанием вредных веществ в воздухе рабочей зоны должна соответствовать требованиям </w:t>
      </w:r>
      <w:hyperlink w:anchor="P319" w:history="1">
        <w:r>
          <w:rPr>
            <w:color w:val="0000FF"/>
          </w:rPr>
          <w:t>[1]</w:t>
        </w:r>
      </w:hyperlink>
      <w:r>
        <w:t xml:space="preserve"> и </w:t>
      </w:r>
      <w:hyperlink r:id="rId34" w:history="1">
        <w:r>
          <w:rPr>
            <w:color w:val="0000FF"/>
          </w:rPr>
          <w:t>ГОСТ 12.1.005</w:t>
        </w:r>
      </w:hyperlink>
      <w:r>
        <w:t>.</w:t>
      </w:r>
    </w:p>
    <w:p w:rsidR="008222FA" w:rsidRDefault="008222FA">
      <w:pPr>
        <w:pStyle w:val="ConsPlusNormal"/>
        <w:spacing w:before="220"/>
        <w:ind w:firstLine="540"/>
        <w:jc w:val="both"/>
      </w:pPr>
      <w:r>
        <w:t xml:space="preserve">5.9.6. Лица, связанные с применением материалов для дорожной разметки, должны быть обеспечены специальной одеждой и средствами индивидуальной защиты в соответствии с </w:t>
      </w:r>
      <w:hyperlink r:id="rId35" w:history="1">
        <w:r>
          <w:rPr>
            <w:color w:val="0000FF"/>
          </w:rPr>
          <w:t xml:space="preserve">ГОСТ </w:t>
        </w:r>
        <w:r>
          <w:rPr>
            <w:color w:val="0000FF"/>
          </w:rPr>
          <w:lastRenderedPageBreak/>
          <w:t>12.4.011</w:t>
        </w:r>
      </w:hyperlink>
      <w:r>
        <w:t xml:space="preserve"> и </w:t>
      </w:r>
      <w:hyperlink r:id="rId36" w:history="1">
        <w:r>
          <w:rPr>
            <w:color w:val="0000FF"/>
          </w:rPr>
          <w:t>ГОСТ 12.4.103</w:t>
        </w:r>
      </w:hyperlink>
      <w:r>
        <w:t>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jc w:val="center"/>
        <w:outlineLvl w:val="0"/>
      </w:pPr>
      <w:r>
        <w:t>БИБЛИОГРАФИЯ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  <w:bookmarkStart w:id="4" w:name="P319"/>
      <w:bookmarkEnd w:id="4"/>
      <w:r>
        <w:t>[1] СанПиН 11-19-94. Перечень регламентированных в воздухе рабочей зоны вредных веществ.</w:t>
      </w: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ind w:firstLine="540"/>
        <w:jc w:val="both"/>
      </w:pPr>
    </w:p>
    <w:p w:rsidR="008222FA" w:rsidRDefault="00822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EC8" w:rsidRDefault="006C0EC8">
      <w:bookmarkStart w:id="5" w:name="_GoBack"/>
      <w:bookmarkEnd w:id="5"/>
    </w:p>
    <w:sectPr w:rsidR="006C0EC8" w:rsidSect="009E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A"/>
    <w:rsid w:val="006C0EC8"/>
    <w:rsid w:val="008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7084-EEA2-4955-9E09-E265C8B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2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2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6B86E78E687F3152DE90833E9B5F483FE78DED0FBCEF0CBF50k7vCH" TargetMode="External"/><Relationship Id="rId13" Type="http://schemas.openxmlformats.org/officeDocument/2006/relationships/hyperlink" Target="consultantplus://offline/ref=BB3D6B86E78E687F3152DE90833E9B5F483EE881ED0FBCEF0CBF50k7vCH" TargetMode="External"/><Relationship Id="rId18" Type="http://schemas.openxmlformats.org/officeDocument/2006/relationships/hyperlink" Target="consultantplus://offline/ref=BB3D6B86E78E687F3152DE90833E9B5F483BE88BE452B6E755B3527BkAv6H" TargetMode="External"/><Relationship Id="rId26" Type="http://schemas.openxmlformats.org/officeDocument/2006/relationships/hyperlink" Target="consultantplus://offline/ref=BB3D6B86E78E687F3152DE90833E9B5F483FE580E352B6E755B3527BkAv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3D6B86E78E687F3152DE90833E9B5F483BE88BE452B6E755B3527BkAv6H" TargetMode="External"/><Relationship Id="rId34" Type="http://schemas.openxmlformats.org/officeDocument/2006/relationships/hyperlink" Target="consultantplus://offline/ref=BB3D6B86E78E687F3152DE90833E9B5F4C38E68FED0FBCEF0CBF50k7vCH" TargetMode="External"/><Relationship Id="rId7" Type="http://schemas.openxmlformats.org/officeDocument/2006/relationships/hyperlink" Target="consultantplus://offline/ref=BB3D6B86E78E687F3152DE90833E9B5F483FE78DED0FBCEF0CBF50k7vCH" TargetMode="External"/><Relationship Id="rId12" Type="http://schemas.openxmlformats.org/officeDocument/2006/relationships/hyperlink" Target="consultantplus://offline/ref=BB3D6B86E78E687F3152DE90833E9B5F4B3AE383B005B4B600BDk5v7H" TargetMode="External"/><Relationship Id="rId17" Type="http://schemas.openxmlformats.org/officeDocument/2006/relationships/hyperlink" Target="consultantplus://offline/ref=BB3D6B86E78E687F3152DE90833E9B5F4838E48BE652B6E755B3527BkAv6H" TargetMode="External"/><Relationship Id="rId25" Type="http://schemas.openxmlformats.org/officeDocument/2006/relationships/hyperlink" Target="consultantplus://offline/ref=BB3D6B86E78E687F3152DE90833E9B5F4838E48BE652B6E755B3527BkAv6H" TargetMode="External"/><Relationship Id="rId33" Type="http://schemas.openxmlformats.org/officeDocument/2006/relationships/hyperlink" Target="consultantplus://offline/ref=BB3D6B86E78E687F3152DE90833E9B5F483EE881ED0FBCEF0CBF50k7vC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D6B86E78E687F3152DE90833E9B5F4F3FE48DED0FBCEF0CBF50k7vCH" TargetMode="External"/><Relationship Id="rId20" Type="http://schemas.openxmlformats.org/officeDocument/2006/relationships/hyperlink" Target="consultantplus://offline/ref=BB3D6B86E78E687F3152DE90833E9B5F483FE580E352B6E755B3527BkAv6H" TargetMode="External"/><Relationship Id="rId29" Type="http://schemas.openxmlformats.org/officeDocument/2006/relationships/hyperlink" Target="consultantplus://offline/ref=BB3D6B86E78E687F3152DE90833E9B5F483FE280EF52B6E755B3527BkAv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D6B86E78E687F3152DE90833E9B5F4C3AE58BED0FBCEF0CBF50k7vCH" TargetMode="External"/><Relationship Id="rId11" Type="http://schemas.openxmlformats.org/officeDocument/2006/relationships/hyperlink" Target="consultantplus://offline/ref=BB3D6B86E78E687F3152DE90833E9B5F4C38E68FED0FBCEF0CBF50k7vCH" TargetMode="External"/><Relationship Id="rId24" Type="http://schemas.openxmlformats.org/officeDocument/2006/relationships/hyperlink" Target="consultantplus://offline/ref=BB3D6B86E78E687F3152DE90833E9B5F4E37E58BED0FBCEF0CBF50k7vCH" TargetMode="External"/><Relationship Id="rId32" Type="http://schemas.openxmlformats.org/officeDocument/2006/relationships/hyperlink" Target="consultantplus://offline/ref=BB3D6B86E78E687F3152DE90833E9B5F4B3AE383B005B4B600BDk5v7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B3D6B86E78E687F3152C185863E9B5F4B3CE08BE550EBED5DEA5E79A1kBvAH" TargetMode="External"/><Relationship Id="rId15" Type="http://schemas.openxmlformats.org/officeDocument/2006/relationships/hyperlink" Target="consultantplus://offline/ref=BB3D6B86E78E687F3152DE90833E9B5F483CE583B005B4B600BDk5v7H" TargetMode="External"/><Relationship Id="rId23" Type="http://schemas.openxmlformats.org/officeDocument/2006/relationships/hyperlink" Target="consultantplus://offline/ref=BB3D6B86E78E687F3152DE90833E9B5F483BE88BE452B6E755B3527BkAv6H" TargetMode="External"/><Relationship Id="rId28" Type="http://schemas.openxmlformats.org/officeDocument/2006/relationships/hyperlink" Target="consultantplus://offline/ref=BB3D6B86E78E687F3152DE90833E9B5F4C38E68FED0FBCEF0CBF50k7vCH" TargetMode="External"/><Relationship Id="rId36" Type="http://schemas.openxmlformats.org/officeDocument/2006/relationships/hyperlink" Target="consultantplus://offline/ref=BB3D6B86E78E687F3152DE90833E9B5F4F3FE48DED0FBCEF0CBF50k7vCH" TargetMode="External"/><Relationship Id="rId10" Type="http://schemas.openxmlformats.org/officeDocument/2006/relationships/hyperlink" Target="consultantplus://offline/ref=BB3D6B86E78E687F3152DE90833E9B5F4D3DE689ED0FBCEF0CBF50k7vCH" TargetMode="External"/><Relationship Id="rId19" Type="http://schemas.openxmlformats.org/officeDocument/2006/relationships/hyperlink" Target="consultantplus://offline/ref=BB3D6B86E78E687F3152DE90833E9B5F4E37E58BED0FBCEF0CBF50k7vCH" TargetMode="External"/><Relationship Id="rId31" Type="http://schemas.openxmlformats.org/officeDocument/2006/relationships/hyperlink" Target="consultantplus://offline/ref=BB3D6B86E78E687F3152DE90833E9B5F4D3DE689ED0FBCEF0CBF50k7v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3D6B86E78E687F3152DE90833E9B5F413DE78FED0FBCEF0CBF50k7vCH" TargetMode="External"/><Relationship Id="rId14" Type="http://schemas.openxmlformats.org/officeDocument/2006/relationships/hyperlink" Target="consultantplus://offline/ref=BB3D6B86E78E687F3152DE90833E9B5F483FE280EF52B6E755B3527BkAv6H" TargetMode="External"/><Relationship Id="rId22" Type="http://schemas.openxmlformats.org/officeDocument/2006/relationships/hyperlink" Target="consultantplus://offline/ref=BB3D6B86E78E687F3152DE90833E9B5F4E37E58BED0FBCEF0CBF50k7vCH" TargetMode="External"/><Relationship Id="rId27" Type="http://schemas.openxmlformats.org/officeDocument/2006/relationships/hyperlink" Target="consultantplus://offline/ref=BB3D6B86E78E687F3152DE90833E9B5F413DE78FED0FBCEF0CBF50k7vCH" TargetMode="External"/><Relationship Id="rId30" Type="http://schemas.openxmlformats.org/officeDocument/2006/relationships/hyperlink" Target="consultantplus://offline/ref=BB3D6B86E78E687F3152DE90833E9B5F413BE18FED0FBCEF0CBF50k7vCH" TargetMode="External"/><Relationship Id="rId35" Type="http://schemas.openxmlformats.org/officeDocument/2006/relationships/hyperlink" Target="consultantplus://offline/ref=BB3D6B86E78E687F3152DE90833E9B5F483CE583B005B4B600BDk5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3444</Words>
  <Characters>19637</Characters>
  <Application>Microsoft Office Word</Application>
  <DocSecurity>0</DocSecurity>
  <Lines>163</Lines>
  <Paragraphs>46</Paragraphs>
  <ScaleCrop>false</ScaleCrop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Тимофеевич</dc:creator>
  <cp:keywords/>
  <dc:description/>
  <cp:lastModifiedBy>Тимофеев Евгений Тимофеевич</cp:lastModifiedBy>
  <cp:revision>1</cp:revision>
  <dcterms:created xsi:type="dcterms:W3CDTF">2017-11-09T07:47:00Z</dcterms:created>
  <dcterms:modified xsi:type="dcterms:W3CDTF">2017-11-09T07:47:00Z</dcterms:modified>
</cp:coreProperties>
</file>